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764A" w14:textId="37407392" w:rsidR="00726BD5" w:rsidRPr="00AE36F0" w:rsidRDefault="007F1C34"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End w:id="0"/>
      <w:r w:rsidRPr="00AE36F0">
        <w:rPr>
          <w:rFonts w:ascii="Montserrat" w:hAnsi="Montserrat"/>
          <w:b/>
          <w:bCs/>
        </w:rPr>
        <w:tab/>
      </w:r>
    </w:p>
    <w:p w14:paraId="4286E27D" w14:textId="44D3BA6B" w:rsidR="00B0059B" w:rsidRPr="00AE36F0"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AE36F0">
        <w:rPr>
          <w:rFonts w:ascii="Montserrat" w:hAnsi="Montserrat"/>
          <w:b/>
          <w:bCs/>
        </w:rPr>
        <w:t xml:space="preserve">NOTAS A LOS ESTADOS FINANCIEROS CONSOLIDADOS </w:t>
      </w:r>
    </w:p>
    <w:p w14:paraId="4BABB5FE" w14:textId="77777777" w:rsidR="00B0059B" w:rsidRPr="00AE36F0"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AE36F0">
        <w:rPr>
          <w:rFonts w:ascii="Montserrat" w:hAnsi="Montserrat"/>
          <w:b/>
          <w:bCs/>
        </w:rPr>
        <w:t>DEL PODER EJECUTIVO</w:t>
      </w:r>
    </w:p>
    <w:p w14:paraId="1571B049" w14:textId="77777777" w:rsidR="00B0059B" w:rsidRPr="00AE36F0" w:rsidRDefault="00B0059B" w:rsidP="00B0059B">
      <w:pPr>
        <w:pBdr>
          <w:top w:val="nil"/>
          <w:left w:val="nil"/>
          <w:bottom w:val="nil"/>
          <w:right w:val="nil"/>
          <w:between w:val="nil"/>
        </w:pBdr>
        <w:spacing w:line="360" w:lineRule="auto"/>
        <w:jc w:val="both"/>
        <w:rPr>
          <w:rFonts w:ascii="Montserrat" w:hAnsi="Montserrat"/>
        </w:rPr>
      </w:pPr>
    </w:p>
    <w:p w14:paraId="4584A049" w14:textId="1F02910A" w:rsidR="00B0059B" w:rsidRPr="00AE36F0" w:rsidRDefault="00B0059B" w:rsidP="00B0059B">
      <w:pPr>
        <w:pBdr>
          <w:top w:val="nil"/>
          <w:left w:val="nil"/>
          <w:bottom w:val="nil"/>
          <w:right w:val="nil"/>
          <w:between w:val="nil"/>
        </w:pBdr>
        <w:jc w:val="both"/>
        <w:rPr>
          <w:rFonts w:ascii="Montserrat" w:hAnsi="Montserrat"/>
        </w:rPr>
      </w:pPr>
      <w:r w:rsidRPr="00AE36F0">
        <w:rPr>
          <w:rFonts w:ascii="Montserrat" w:hAnsi="Montserrat"/>
        </w:rPr>
        <w:t xml:space="preserve">Las notas a los Estados Financieros Consolidados del Poder Ejecutivo </w:t>
      </w:r>
      <w:r w:rsidR="00131DE1" w:rsidRPr="00AE36F0">
        <w:rPr>
          <w:rFonts w:ascii="Montserrat" w:hAnsi="Montserrat"/>
        </w:rPr>
        <w:t>con corte al 3</w:t>
      </w:r>
      <w:r w:rsidR="00211983" w:rsidRPr="00AE36F0">
        <w:rPr>
          <w:rFonts w:ascii="Montserrat" w:hAnsi="Montserrat"/>
        </w:rPr>
        <w:t>1</w:t>
      </w:r>
      <w:r w:rsidR="00131DE1" w:rsidRPr="00AE36F0">
        <w:rPr>
          <w:rFonts w:ascii="Montserrat" w:hAnsi="Montserrat"/>
        </w:rPr>
        <w:t xml:space="preserve"> de </w:t>
      </w:r>
      <w:r w:rsidR="00211983" w:rsidRPr="00AE36F0">
        <w:rPr>
          <w:rFonts w:ascii="Montserrat" w:hAnsi="Montserrat"/>
        </w:rPr>
        <w:t>dicie</w:t>
      </w:r>
      <w:r w:rsidR="00036AD4" w:rsidRPr="00AE36F0">
        <w:rPr>
          <w:rFonts w:ascii="Montserrat" w:hAnsi="Montserrat"/>
        </w:rPr>
        <w:t>mbre</w:t>
      </w:r>
      <w:r w:rsidR="00131DE1" w:rsidRPr="00AE36F0">
        <w:rPr>
          <w:rFonts w:ascii="Montserrat" w:hAnsi="Montserrat"/>
        </w:rPr>
        <w:t xml:space="preserve"> de 2025</w:t>
      </w:r>
      <w:r w:rsidRPr="00AE36F0">
        <w:rPr>
          <w:rFonts w:ascii="Montserrat" w:hAnsi="Montserrat"/>
        </w:rPr>
        <w:t>, están estructuradas y elaboradas de conformidad con el artículo 46, fracción I; inciso g), y 49 de la Ley General de Contabilidad Gubernamental, así como a la normatividad emitida por el Consejo Nacional de Armonización Contable (CONAC), con los siguientes apartados:</w:t>
      </w:r>
    </w:p>
    <w:p w14:paraId="0C05DA1A" w14:textId="77777777" w:rsidR="00B0059B" w:rsidRPr="00AE36F0" w:rsidRDefault="00B0059B" w:rsidP="00B0059B">
      <w:pPr>
        <w:pBdr>
          <w:top w:val="nil"/>
          <w:left w:val="nil"/>
          <w:bottom w:val="nil"/>
          <w:right w:val="nil"/>
          <w:between w:val="nil"/>
        </w:pBdr>
        <w:jc w:val="both"/>
        <w:rPr>
          <w:rFonts w:ascii="Montserrat" w:hAnsi="Montserrat"/>
        </w:rPr>
      </w:pPr>
    </w:p>
    <w:p w14:paraId="578CD928" w14:textId="77777777" w:rsidR="00B0059B" w:rsidRPr="00AE36F0" w:rsidRDefault="00B0059B" w:rsidP="00B0059B">
      <w:pPr>
        <w:numPr>
          <w:ilvl w:val="0"/>
          <w:numId w:val="1"/>
        </w:numPr>
        <w:pBdr>
          <w:top w:val="nil"/>
          <w:left w:val="nil"/>
          <w:bottom w:val="nil"/>
          <w:right w:val="nil"/>
          <w:between w:val="nil"/>
        </w:pBdr>
        <w:jc w:val="both"/>
        <w:rPr>
          <w:rFonts w:ascii="Montserrat" w:hAnsi="Montserrat"/>
        </w:rPr>
      </w:pPr>
      <w:r w:rsidRPr="00AE36F0">
        <w:rPr>
          <w:rFonts w:ascii="Montserrat" w:hAnsi="Montserrat"/>
        </w:rPr>
        <w:t>Notas de Gestión Administrativa.</w:t>
      </w:r>
    </w:p>
    <w:p w14:paraId="5173B8D5" w14:textId="77777777" w:rsidR="00B0059B" w:rsidRPr="00AE36F0" w:rsidRDefault="00B0059B" w:rsidP="00B0059B">
      <w:pPr>
        <w:numPr>
          <w:ilvl w:val="0"/>
          <w:numId w:val="1"/>
        </w:numPr>
        <w:pBdr>
          <w:top w:val="nil"/>
          <w:left w:val="nil"/>
          <w:bottom w:val="nil"/>
          <w:right w:val="nil"/>
          <w:between w:val="nil"/>
        </w:pBdr>
        <w:jc w:val="both"/>
        <w:rPr>
          <w:rFonts w:ascii="Montserrat" w:hAnsi="Montserrat"/>
        </w:rPr>
      </w:pPr>
      <w:r w:rsidRPr="00AE36F0">
        <w:rPr>
          <w:rFonts w:ascii="Montserrat" w:hAnsi="Montserrat"/>
        </w:rPr>
        <w:t>Notas de Desglose.</w:t>
      </w:r>
    </w:p>
    <w:p w14:paraId="5F86B365" w14:textId="77777777" w:rsidR="00B0059B" w:rsidRPr="00AE36F0" w:rsidRDefault="00B0059B" w:rsidP="00B0059B">
      <w:pPr>
        <w:numPr>
          <w:ilvl w:val="0"/>
          <w:numId w:val="1"/>
        </w:numPr>
        <w:pBdr>
          <w:top w:val="nil"/>
          <w:left w:val="nil"/>
          <w:bottom w:val="nil"/>
          <w:right w:val="nil"/>
          <w:between w:val="nil"/>
        </w:pBdr>
        <w:jc w:val="both"/>
        <w:rPr>
          <w:rFonts w:ascii="Montserrat" w:hAnsi="Montserrat"/>
        </w:rPr>
      </w:pPr>
      <w:r w:rsidRPr="00AE36F0">
        <w:rPr>
          <w:rFonts w:ascii="Montserrat" w:hAnsi="Montserrat"/>
        </w:rPr>
        <w:t>Notas de Memoria.</w:t>
      </w:r>
    </w:p>
    <w:p w14:paraId="4D9D18BC" w14:textId="77777777" w:rsidR="00B0059B" w:rsidRPr="00AE36F0" w:rsidRDefault="00B0059B" w:rsidP="00B0059B">
      <w:pPr>
        <w:jc w:val="both"/>
        <w:rPr>
          <w:rFonts w:ascii="Montserrat" w:hAnsi="Montserrat"/>
        </w:rPr>
      </w:pPr>
    </w:p>
    <w:p w14:paraId="1ECAC57B" w14:textId="77777777" w:rsidR="00B0059B" w:rsidRPr="00AE36F0" w:rsidRDefault="00B0059B" w:rsidP="00B0059B">
      <w:pPr>
        <w:jc w:val="both"/>
        <w:rPr>
          <w:rFonts w:ascii="Montserrat" w:hAnsi="Montserrat"/>
        </w:rPr>
      </w:pPr>
    </w:p>
    <w:p w14:paraId="6406C9B6" w14:textId="77777777" w:rsidR="00B0059B" w:rsidRPr="00AE36F0" w:rsidRDefault="00B0059B" w:rsidP="00B0059B">
      <w:pPr>
        <w:jc w:val="center"/>
        <w:rPr>
          <w:rFonts w:ascii="Montserrat" w:hAnsi="Montserrat"/>
          <w:b/>
        </w:rPr>
      </w:pPr>
      <w:bookmarkStart w:id="2" w:name="_Hlk157387195"/>
      <w:r w:rsidRPr="00AE36F0">
        <w:rPr>
          <w:rFonts w:ascii="Montserrat" w:hAnsi="Montserrat"/>
          <w:b/>
        </w:rPr>
        <w:t>NOTAS DE GESTIÓN ADMINISTRATIVA</w:t>
      </w:r>
    </w:p>
    <w:bookmarkEnd w:id="2"/>
    <w:p w14:paraId="737536A3" w14:textId="77777777" w:rsidR="00B0059B" w:rsidRPr="00AE36F0" w:rsidRDefault="00B0059B" w:rsidP="00B0059B">
      <w:pPr>
        <w:tabs>
          <w:tab w:val="left" w:pos="7260"/>
        </w:tabs>
        <w:jc w:val="both"/>
        <w:rPr>
          <w:rFonts w:ascii="Montserrat" w:eastAsia="Times New Roman" w:hAnsi="Montserrat" w:cs="Arial"/>
        </w:rPr>
      </w:pPr>
    </w:p>
    <w:p w14:paraId="72BDFE27" w14:textId="77777777" w:rsidR="00B0059B" w:rsidRPr="00AE36F0" w:rsidRDefault="00B0059B" w:rsidP="00B0059B">
      <w:pPr>
        <w:widowControl w:val="0"/>
        <w:jc w:val="both"/>
        <w:rPr>
          <w:rFonts w:ascii="Montserrat" w:hAnsi="Montserrat"/>
          <w:b/>
        </w:rPr>
      </w:pPr>
      <w:r w:rsidRPr="00AE36F0">
        <w:rPr>
          <w:rFonts w:ascii="Montserrat" w:hAnsi="Montserrat"/>
          <w:b/>
        </w:rPr>
        <w:t>Introducción</w:t>
      </w:r>
    </w:p>
    <w:p w14:paraId="7DCC1094" w14:textId="77777777" w:rsidR="00B0059B" w:rsidRPr="00AE36F0" w:rsidRDefault="00B0059B" w:rsidP="00B0059B">
      <w:pPr>
        <w:tabs>
          <w:tab w:val="left" w:pos="7260"/>
        </w:tabs>
        <w:jc w:val="both"/>
        <w:rPr>
          <w:rFonts w:ascii="Montserrat" w:eastAsia="Times New Roman" w:hAnsi="Montserrat" w:cs="Arial"/>
        </w:rPr>
      </w:pPr>
    </w:p>
    <w:p w14:paraId="18A50C0F"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AE36F0" w:rsidRDefault="00B0059B" w:rsidP="00B0059B">
      <w:pPr>
        <w:tabs>
          <w:tab w:val="left" w:pos="7260"/>
        </w:tabs>
        <w:jc w:val="both"/>
        <w:rPr>
          <w:rFonts w:ascii="Montserrat" w:eastAsia="Times New Roman" w:hAnsi="Montserrat" w:cs="Arial"/>
        </w:rPr>
      </w:pPr>
    </w:p>
    <w:p w14:paraId="4EA0AFE8" w14:textId="0F201380"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w:t>
      </w:r>
      <w:r w:rsidR="00216277">
        <w:rPr>
          <w:rFonts w:ascii="Montserrat" w:eastAsia="Times New Roman" w:hAnsi="Montserrat" w:cs="Arial"/>
        </w:rPr>
        <w:t>mismos</w:t>
      </w:r>
      <w:r w:rsidRPr="00AE36F0">
        <w:rPr>
          <w:rFonts w:ascii="Montserrat" w:eastAsia="Times New Roman" w:hAnsi="Montserrat" w:cs="Arial"/>
        </w:rPr>
        <w:t>.</w:t>
      </w:r>
    </w:p>
    <w:p w14:paraId="05894175" w14:textId="77777777" w:rsidR="00B0059B" w:rsidRPr="00AE36F0" w:rsidRDefault="00B0059B" w:rsidP="00B0059B">
      <w:pPr>
        <w:tabs>
          <w:tab w:val="left" w:pos="7260"/>
        </w:tabs>
        <w:jc w:val="both"/>
        <w:rPr>
          <w:rFonts w:ascii="Montserrat" w:eastAsia="Times New Roman" w:hAnsi="Montserrat" w:cs="Arial"/>
        </w:rPr>
      </w:pPr>
    </w:p>
    <w:p w14:paraId="7DA0E7BD" w14:textId="602AE38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Los Estados Financieros del Poder Ejecutivo son elaborados por la Secretaría de Finanzas bajo la responsabilidad de la Dirección de </w:t>
      </w:r>
      <w:r w:rsidRPr="00AE36F0">
        <w:rPr>
          <w:rFonts w:ascii="Montserrat" w:eastAsia="Times New Roman" w:hAnsi="Montserrat" w:cs="Arial"/>
        </w:rPr>
        <w:lastRenderedPageBreak/>
        <w:t>Contabilidad</w:t>
      </w:r>
      <w:r w:rsidR="00A259CD" w:rsidRPr="00AE36F0">
        <w:rPr>
          <w:rFonts w:ascii="Montserrat" w:eastAsia="Times New Roman" w:hAnsi="Montserrat" w:cs="Arial"/>
        </w:rPr>
        <w:t xml:space="preserve"> Gubernamental</w:t>
      </w:r>
      <w:r w:rsidRPr="00AE36F0">
        <w:rPr>
          <w:rFonts w:ascii="Montserrat" w:eastAsia="Times New Roman" w:hAnsi="Montserrat" w:cs="Arial"/>
        </w:rPr>
        <w:t xml:space="preserve">, formulados con sustento a las disposiciones legales, normas contables y presupuestales del Estado, con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w:t>
      </w:r>
      <w:r w:rsidR="00A90675" w:rsidRPr="00AE36F0">
        <w:rPr>
          <w:rFonts w:ascii="Montserrat" w:eastAsia="Times New Roman" w:hAnsi="Montserrat" w:cs="Arial"/>
        </w:rPr>
        <w:t>é</w:t>
      </w:r>
      <w:r w:rsidRPr="00AE36F0">
        <w:rPr>
          <w:rFonts w:ascii="Montserrat" w:eastAsia="Times New Roman" w:hAnsi="Montserrat" w:cs="Arial"/>
        </w:rPr>
        <w:t>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AE36F0" w:rsidRDefault="00B0059B" w:rsidP="00B0059B">
      <w:pPr>
        <w:tabs>
          <w:tab w:val="left" w:pos="7260"/>
        </w:tabs>
        <w:jc w:val="both"/>
        <w:rPr>
          <w:rFonts w:ascii="Montserrat" w:eastAsia="Times New Roman" w:hAnsi="Montserrat" w:cs="Arial"/>
        </w:rPr>
      </w:pPr>
    </w:p>
    <w:p w14:paraId="5FC4B57B" w14:textId="77777777" w:rsidR="00B0059B" w:rsidRPr="00AE36F0" w:rsidRDefault="00B0059B" w:rsidP="00B0059B">
      <w:pPr>
        <w:pStyle w:val="Prrafodelista"/>
        <w:widowControl w:val="0"/>
        <w:numPr>
          <w:ilvl w:val="0"/>
          <w:numId w:val="6"/>
        </w:numPr>
        <w:ind w:left="426" w:hanging="426"/>
        <w:jc w:val="both"/>
        <w:rPr>
          <w:rFonts w:ascii="Montserrat" w:hAnsi="Montserrat"/>
          <w:b/>
          <w:sz w:val="24"/>
          <w:szCs w:val="24"/>
        </w:rPr>
      </w:pPr>
      <w:r w:rsidRPr="00AE36F0">
        <w:rPr>
          <w:rFonts w:ascii="Montserrat" w:hAnsi="Montserrat"/>
          <w:b/>
          <w:sz w:val="24"/>
          <w:szCs w:val="24"/>
        </w:rPr>
        <w:t>Autorización e Historia.</w:t>
      </w:r>
    </w:p>
    <w:p w14:paraId="18732852" w14:textId="77777777" w:rsidR="00B0059B" w:rsidRPr="00AE36F0" w:rsidRDefault="00B0059B" w:rsidP="00B0059B">
      <w:pPr>
        <w:pStyle w:val="Prrafodelista"/>
        <w:widowControl w:val="0"/>
        <w:ind w:left="426"/>
        <w:jc w:val="both"/>
        <w:rPr>
          <w:rFonts w:ascii="Montserrat" w:hAnsi="Montserrat"/>
          <w:b/>
          <w:sz w:val="24"/>
          <w:szCs w:val="24"/>
        </w:rPr>
      </w:pPr>
    </w:p>
    <w:p w14:paraId="14DE9634" w14:textId="77777777" w:rsidR="00B0059B" w:rsidRPr="00AE36F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Fecha de creación del ente público.</w:t>
      </w:r>
    </w:p>
    <w:p w14:paraId="3A34F62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AE36F0" w:rsidRDefault="00B0059B" w:rsidP="00B0059B">
      <w:pPr>
        <w:tabs>
          <w:tab w:val="left" w:pos="7260"/>
        </w:tabs>
        <w:jc w:val="both"/>
        <w:rPr>
          <w:rFonts w:ascii="Montserrat" w:eastAsia="Times New Roman" w:hAnsi="Montserrat" w:cs="Arial"/>
        </w:rPr>
      </w:pPr>
    </w:p>
    <w:p w14:paraId="070DC3C2"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w:t>
      </w:r>
      <w:r w:rsidRPr="00AE36F0">
        <w:rPr>
          <w:rFonts w:ascii="Montserrat" w:eastAsia="Times New Roman" w:hAnsi="Montserrat" w:cs="Arial"/>
        </w:rPr>
        <w:lastRenderedPageBreak/>
        <w:t>costa chica y en menor medida tzotziles; que en conjunto superan el millón de habitantes alrededor del 34.2% del total, distribuidos en 2,563 localidades.</w:t>
      </w:r>
    </w:p>
    <w:p w14:paraId="361B989B" w14:textId="77777777" w:rsidR="00B0059B" w:rsidRPr="00AE36F0" w:rsidRDefault="00B0059B" w:rsidP="00B0059B">
      <w:pPr>
        <w:tabs>
          <w:tab w:val="left" w:pos="7260"/>
        </w:tabs>
        <w:jc w:val="both"/>
        <w:rPr>
          <w:rFonts w:ascii="Montserrat" w:eastAsia="Times New Roman" w:hAnsi="Montserrat" w:cs="Arial"/>
        </w:rPr>
      </w:pPr>
    </w:p>
    <w:p w14:paraId="5BBA55D0"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nombre del Estado proviene de la denominación náhuatl Huãxyacac, impuesta por los conquistadores aztecas en el siglo XV, en el momento de 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AE36F0" w:rsidRDefault="00B0059B" w:rsidP="00B0059B">
      <w:pPr>
        <w:tabs>
          <w:tab w:val="left" w:pos="7260"/>
        </w:tabs>
        <w:jc w:val="both"/>
        <w:rPr>
          <w:rFonts w:ascii="Montserrat" w:eastAsia="Times New Roman" w:hAnsi="Montserrat" w:cs="Arial"/>
        </w:rPr>
      </w:pPr>
    </w:p>
    <w:p w14:paraId="0527C09C"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AE36F0" w:rsidRDefault="00B0059B" w:rsidP="00B0059B">
      <w:pPr>
        <w:tabs>
          <w:tab w:val="left" w:pos="7260"/>
        </w:tabs>
        <w:jc w:val="both"/>
        <w:rPr>
          <w:rFonts w:ascii="Montserrat" w:eastAsia="Times New Roman" w:hAnsi="Montserrat" w:cs="Arial"/>
        </w:rPr>
      </w:pPr>
    </w:p>
    <w:p w14:paraId="76DC4A52"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AE36F0" w:rsidRDefault="00B0059B" w:rsidP="00B0059B">
      <w:pPr>
        <w:tabs>
          <w:tab w:val="left" w:pos="7260"/>
        </w:tabs>
        <w:jc w:val="both"/>
        <w:rPr>
          <w:rFonts w:ascii="Montserrat" w:eastAsia="Times New Roman" w:hAnsi="Montserrat" w:cs="Arial"/>
        </w:rPr>
      </w:pPr>
    </w:p>
    <w:p w14:paraId="5C162BF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AE36F0" w:rsidRDefault="00B0059B" w:rsidP="00B0059B">
      <w:pPr>
        <w:tabs>
          <w:tab w:val="left" w:pos="7260"/>
        </w:tabs>
        <w:jc w:val="both"/>
        <w:rPr>
          <w:rFonts w:ascii="Montserrat" w:eastAsia="Times New Roman" w:hAnsi="Montserrat" w:cs="Arial"/>
        </w:rPr>
      </w:pPr>
    </w:p>
    <w:p w14:paraId="16C3CE02"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w:t>
      </w:r>
      <w:r w:rsidRPr="00AE36F0">
        <w:rPr>
          <w:rFonts w:ascii="Montserrat" w:eastAsia="Times New Roman" w:hAnsi="Montserrat" w:cs="Arial"/>
        </w:rPr>
        <w:lastRenderedPageBreak/>
        <w:t>Miguel Cabrera, Rufino Tamayo, Francisco</w:t>
      </w:r>
      <w:r w:rsidRPr="00AE36F0">
        <w:rPr>
          <w:rFonts w:ascii="Montserrat" w:hAnsi="Montserrat"/>
        </w:rPr>
        <w:t xml:space="preserve"> T</w:t>
      </w:r>
      <w:r w:rsidRPr="00AE36F0">
        <w:rPr>
          <w:rFonts w:ascii="Montserrat" w:eastAsia="Times New Roman" w:hAnsi="Montserrat" w:cs="Arial"/>
        </w:rPr>
        <w:t>oledo, Rodolfo Morales, Alfredo Canseco Feraud y Macedonio Alcalá, además de mujeres como Teodora Blanco.</w:t>
      </w:r>
    </w:p>
    <w:p w14:paraId="70C2D6A6" w14:textId="77777777" w:rsidR="00B0059B" w:rsidRPr="00AE36F0" w:rsidRDefault="00B0059B" w:rsidP="00B0059B">
      <w:pPr>
        <w:tabs>
          <w:tab w:val="left" w:pos="7260"/>
        </w:tabs>
        <w:jc w:val="both"/>
        <w:rPr>
          <w:rFonts w:ascii="Montserrat" w:eastAsia="Times New Roman" w:hAnsi="Montserrat" w:cs="Arial"/>
        </w:rPr>
      </w:pPr>
    </w:p>
    <w:p w14:paraId="7DB199C8"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21659B0C" w14:textId="77777777" w:rsidR="00B0059B" w:rsidRPr="00AE36F0" w:rsidRDefault="00B0059B" w:rsidP="00B0059B">
      <w:pPr>
        <w:tabs>
          <w:tab w:val="left" w:pos="7260"/>
        </w:tabs>
        <w:jc w:val="both"/>
        <w:rPr>
          <w:rFonts w:ascii="Montserrat" w:eastAsia="Times New Roman" w:hAnsi="Montserrat" w:cs="Arial"/>
        </w:rPr>
      </w:pPr>
    </w:p>
    <w:p w14:paraId="51F9EBE8" w14:textId="2F2F5610"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Para efectos de poder dar cumplimiento a sus obligaciones fiscales el Gobierno del Estado de Oaxaca se inscribió al registro federal de contribuyentes como Persona Moral con Fines no Lucrativos en los términos de la Ley del Impuesto Sobre la Renta con fecha el 01 de </w:t>
      </w:r>
      <w:r w:rsidR="00036AD4" w:rsidRPr="00AE36F0">
        <w:rPr>
          <w:rFonts w:ascii="Montserrat" w:eastAsia="Times New Roman" w:hAnsi="Montserrat" w:cs="Arial"/>
        </w:rPr>
        <w:t>septiembre</w:t>
      </w:r>
      <w:r w:rsidRPr="00AE36F0">
        <w:rPr>
          <w:rFonts w:ascii="Montserrat" w:eastAsia="Times New Roman" w:hAnsi="Montserrat" w:cs="Arial"/>
        </w:rPr>
        <w:t xml:space="preserve"> de 1962.</w:t>
      </w:r>
    </w:p>
    <w:p w14:paraId="7BDC073B" w14:textId="77777777" w:rsidR="00B0059B" w:rsidRPr="00AE36F0" w:rsidRDefault="00B0059B" w:rsidP="00B0059B">
      <w:pPr>
        <w:tabs>
          <w:tab w:val="left" w:pos="7260"/>
        </w:tabs>
        <w:jc w:val="both"/>
        <w:rPr>
          <w:rFonts w:ascii="Montserrat" w:eastAsia="Times New Roman" w:hAnsi="Montserrat" w:cs="Arial"/>
        </w:rPr>
      </w:pPr>
    </w:p>
    <w:p w14:paraId="430E6E7A" w14:textId="77777777" w:rsidR="00B0059B" w:rsidRPr="00AE36F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Principales cambios en la estructura del Gobierno del Estado de Oaxaca.</w:t>
      </w:r>
    </w:p>
    <w:p w14:paraId="1BB10488" w14:textId="3928DAF4" w:rsidR="00B0059B" w:rsidRPr="00AE36F0" w:rsidRDefault="00B0059B" w:rsidP="00B0059B">
      <w:pPr>
        <w:tabs>
          <w:tab w:val="left" w:pos="7260"/>
        </w:tabs>
        <w:jc w:val="both"/>
        <w:rPr>
          <w:rFonts w:ascii="Montserrat" w:eastAsia="Times New Roman" w:hAnsi="Montserrat" w:cs="Calibri"/>
          <w:bCs/>
          <w:lang w:eastAsia="es-ES"/>
        </w:rPr>
      </w:pPr>
      <w:r w:rsidRPr="00AE36F0">
        <w:rPr>
          <w:rFonts w:ascii="Montserrat" w:eastAsia="Times New Roman" w:hAnsi="Montserrat" w:cs="Arial"/>
        </w:rPr>
        <w:t>Al inicio de la presente administración el Poder Ejecutivo del Gobierno del Estado de Oaxaca se conformaba por 2</w:t>
      </w:r>
      <w:r w:rsidR="003F0261" w:rsidRPr="00AE36F0">
        <w:rPr>
          <w:rFonts w:ascii="Montserrat" w:eastAsia="Times New Roman" w:hAnsi="Montserrat" w:cs="Arial"/>
        </w:rPr>
        <w:t>2</w:t>
      </w:r>
      <w:r w:rsidRPr="00AE36F0">
        <w:rPr>
          <w:rFonts w:ascii="Montserrat" w:eastAsia="Times New Roman" w:hAnsi="Montserrat" w:cs="Arial"/>
        </w:rPr>
        <w:t xml:space="preserve"> Dependencias de la Administración Pública Centralizada</w:t>
      </w:r>
      <w:r w:rsidR="00D75926" w:rsidRPr="00AE36F0">
        <w:rPr>
          <w:rFonts w:ascii="Montserrat" w:eastAsia="Times New Roman" w:hAnsi="Montserrat" w:cs="Arial"/>
        </w:rPr>
        <w:t xml:space="preserve"> y </w:t>
      </w:r>
      <w:r w:rsidR="00AF7183" w:rsidRPr="00AE36F0">
        <w:rPr>
          <w:rFonts w:ascii="Montserrat" w:eastAsia="Times New Roman" w:hAnsi="Montserrat" w:cs="Arial"/>
        </w:rPr>
        <w:t>70</w:t>
      </w:r>
      <w:r w:rsidR="00D75926" w:rsidRPr="00AE36F0">
        <w:rPr>
          <w:rFonts w:ascii="Montserrat" w:eastAsia="Times New Roman" w:hAnsi="Montserrat" w:cs="Arial"/>
        </w:rPr>
        <w:t xml:space="preserve"> entidades de la Administración Pública Paraestatal;</w:t>
      </w:r>
      <w:r w:rsidRPr="00AE36F0">
        <w:rPr>
          <w:rFonts w:ascii="Montserrat" w:eastAsia="Times New Roman" w:hAnsi="Montserrat"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AE36F0">
        <w:rPr>
          <w:rFonts w:ascii="Montserrat" w:eastAsia="Times New Roman" w:hAnsi="Montserrat" w:cs="Calibri"/>
          <w:bCs/>
          <w:lang w:eastAsia="es-ES"/>
        </w:rPr>
        <w:t xml:space="preserve">Secretaría de Gobierno, </w:t>
      </w:r>
      <w:r w:rsidRPr="00AE36F0">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AE36F0">
        <w:rPr>
          <w:rFonts w:ascii="Montserrat" w:eastAsia="Times New Roman" w:hAnsi="Montserrat" w:cs="Calibri"/>
          <w:bCs/>
          <w:lang w:eastAsia="es-ES"/>
        </w:rPr>
        <w:t xml:space="preserve">Consejería Jurídica y Asistencia Legal del Estado de Oaxaca; la Procuraduría para la Defensa del Trabajo y la Coordinación de Normatividad e Inspección </w:t>
      </w:r>
      <w:r w:rsidRPr="00AE36F0">
        <w:rPr>
          <w:rFonts w:ascii="Montserrat" w:eastAsia="Times New Roman" w:hAnsi="Montserrat" w:cs="Calibri"/>
          <w:bCs/>
          <w:lang w:eastAsia="es-ES"/>
        </w:rPr>
        <w:lastRenderedPageBreak/>
        <w:t>del Trabajo</w:t>
      </w:r>
      <w:r w:rsidRPr="00AE36F0">
        <w:rPr>
          <w:rFonts w:ascii="Montserrat" w:eastAsia="Times New Roman" w:hAnsi="Montserrat" w:cs="Arial"/>
        </w:rPr>
        <w:t xml:space="preserve"> transferidas a la Secretaría del Trabajo; y la </w:t>
      </w:r>
      <w:r w:rsidRPr="00AE36F0">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AE36F0" w:rsidRDefault="00B0059B" w:rsidP="00B0059B">
      <w:pPr>
        <w:tabs>
          <w:tab w:val="left" w:pos="7260"/>
        </w:tabs>
        <w:jc w:val="both"/>
        <w:rPr>
          <w:rFonts w:ascii="Montserrat" w:eastAsia="Times New Roman" w:hAnsi="Montserrat" w:cs="Arial"/>
        </w:rPr>
      </w:pPr>
    </w:p>
    <w:p w14:paraId="4A3D6AB6" w14:textId="45D6B66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AE36F0">
        <w:rPr>
          <w:rFonts w:ascii="Montserrat" w:eastAsia="Times New Roman" w:hAnsi="Montserrat" w:cs="Calibri"/>
          <w:bCs/>
          <w:lang w:eastAsia="es-ES"/>
        </w:rPr>
        <w:t>Secretaría de Bienestar, Tequio e Inclusión;</w:t>
      </w:r>
      <w:r w:rsidRPr="00AE36F0">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a cargo de la Secretaría de Administración</w:t>
      </w:r>
      <w:r w:rsidR="00D633F9" w:rsidRPr="00AE36F0">
        <w:rPr>
          <w:rFonts w:ascii="Montserrat" w:eastAsia="Times New Roman" w:hAnsi="Montserrat" w:cs="Arial"/>
        </w:rPr>
        <w:t>; la cuarta entidad extinta es la Coordinación General de Relaciones Internacionales.</w:t>
      </w:r>
    </w:p>
    <w:p w14:paraId="3133A75A" w14:textId="77777777" w:rsidR="00B0059B" w:rsidRPr="00AE36F0" w:rsidRDefault="00B0059B" w:rsidP="00B0059B">
      <w:pPr>
        <w:widowControl w:val="0"/>
        <w:jc w:val="both"/>
        <w:rPr>
          <w:rFonts w:ascii="Montserrat" w:hAnsi="Montserrat"/>
          <w:b/>
        </w:rPr>
      </w:pPr>
    </w:p>
    <w:p w14:paraId="25A7FC5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También, el Gobernador Constitucional propuso al Congreso del Estado la modificación de 15 nombres de Dependencias a fin de fortalecer su esencia en la encomienda de cada una.</w:t>
      </w:r>
    </w:p>
    <w:p w14:paraId="38895F5E" w14:textId="77777777" w:rsidR="00B0059B" w:rsidRPr="00AE36F0" w:rsidRDefault="00B0059B" w:rsidP="00B0059B">
      <w:pPr>
        <w:tabs>
          <w:tab w:val="left" w:pos="7260"/>
        </w:tabs>
        <w:jc w:val="both"/>
        <w:rPr>
          <w:rFonts w:ascii="Montserrat" w:eastAsia="Times New Roman" w:hAnsi="Montserrat" w:cs="Arial"/>
        </w:rPr>
      </w:pPr>
    </w:p>
    <w:p w14:paraId="091C5BFD" w14:textId="5105799C"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Sumado a los cambios anteriores, durante el</w:t>
      </w:r>
      <w:r w:rsidR="009D6819" w:rsidRPr="00AE36F0">
        <w:rPr>
          <w:rFonts w:ascii="Montserrat" w:eastAsia="Times New Roman" w:hAnsi="Montserrat" w:cs="Arial"/>
        </w:rPr>
        <w:t xml:space="preserve"> </w:t>
      </w:r>
      <w:r w:rsidRPr="00AE36F0">
        <w:rPr>
          <w:rFonts w:ascii="Montserrat" w:eastAsia="Times New Roman" w:hAnsi="Montserrat" w:cs="Arial"/>
        </w:rPr>
        <w:t>2024, el Gobernador tuvo a bien dictar cambios el algunas dependencias y entidades, de acuerdo a lo siguiente:</w:t>
      </w:r>
    </w:p>
    <w:p w14:paraId="2001AD4A" w14:textId="77777777" w:rsidR="00B0059B" w:rsidRPr="00AE36F0" w:rsidRDefault="00B0059B" w:rsidP="00B0059B">
      <w:pPr>
        <w:tabs>
          <w:tab w:val="left" w:pos="7260"/>
        </w:tabs>
        <w:jc w:val="both"/>
        <w:rPr>
          <w:rFonts w:ascii="Montserrat" w:eastAsia="Times New Roman" w:hAnsi="Montserrat" w:cs="Arial"/>
        </w:rPr>
      </w:pPr>
    </w:p>
    <w:p w14:paraId="17967CC2" w14:textId="69B23526" w:rsidR="004A7AAF"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De la Administración Pública Centralizada se extinguieron </w:t>
      </w:r>
      <w:r w:rsidR="004A7AAF" w:rsidRPr="00AE36F0">
        <w:rPr>
          <w:rFonts w:ascii="Montserrat" w:eastAsia="Times New Roman" w:hAnsi="Montserrat" w:cs="Arial"/>
        </w:rPr>
        <w:t>2 dependencias, la</w:t>
      </w:r>
      <w:r w:rsidRPr="00AE36F0">
        <w:rPr>
          <w:rFonts w:ascii="Montserrat" w:eastAsia="Times New Roman" w:hAnsi="Montserrat" w:cs="Arial"/>
        </w:rPr>
        <w:t xml:space="preserve"> Jefatura de Gabinete y la Coordinación General de Educación Media Superior y Superior, Ciencia y Tecnología, cuyas funciones de esta última fueron absorbidas por la </w:t>
      </w:r>
      <w:proofErr w:type="gramStart"/>
      <w:r w:rsidRPr="00AE36F0">
        <w:rPr>
          <w:rFonts w:ascii="Montserrat" w:eastAsia="Times New Roman" w:hAnsi="Montserrat" w:cs="Arial"/>
        </w:rPr>
        <w:t>Secretaria</w:t>
      </w:r>
      <w:proofErr w:type="gramEnd"/>
      <w:r w:rsidRPr="00AE36F0">
        <w:rPr>
          <w:rFonts w:ascii="Montserrat" w:eastAsia="Times New Roman" w:hAnsi="Montserrat" w:cs="Arial"/>
        </w:rPr>
        <w:t xml:space="preserve"> de Educación Pública</w:t>
      </w:r>
      <w:r w:rsidR="004A7AAF" w:rsidRPr="00AE36F0">
        <w:rPr>
          <w:rFonts w:ascii="Montserrat" w:eastAsia="Times New Roman" w:hAnsi="Montserrat" w:cs="Arial"/>
        </w:rPr>
        <w:t xml:space="preserve">. </w:t>
      </w:r>
    </w:p>
    <w:p w14:paraId="50C4FE80" w14:textId="77777777" w:rsidR="004A7AAF" w:rsidRPr="00AE36F0" w:rsidRDefault="004A7AAF" w:rsidP="00B0059B">
      <w:pPr>
        <w:tabs>
          <w:tab w:val="left" w:pos="7260"/>
        </w:tabs>
        <w:jc w:val="both"/>
        <w:rPr>
          <w:rFonts w:ascii="Montserrat" w:eastAsia="Times New Roman" w:hAnsi="Montserrat" w:cs="Arial"/>
        </w:rPr>
      </w:pPr>
    </w:p>
    <w:p w14:paraId="66D3DCCC" w14:textId="242589F8" w:rsidR="0011110F" w:rsidRPr="00AE36F0" w:rsidRDefault="004A7AAF" w:rsidP="00B0059B">
      <w:pPr>
        <w:tabs>
          <w:tab w:val="left" w:pos="7260"/>
        </w:tabs>
        <w:jc w:val="both"/>
        <w:rPr>
          <w:rFonts w:ascii="Montserrat" w:eastAsia="Times New Roman" w:hAnsi="Montserrat" w:cs="Arial"/>
        </w:rPr>
      </w:pPr>
      <w:r w:rsidRPr="00AE36F0">
        <w:rPr>
          <w:rFonts w:ascii="Montserrat" w:eastAsia="Times New Roman" w:hAnsi="Montserrat" w:cs="Arial"/>
        </w:rPr>
        <w:t>De la Administración Pública Paraestatal se extinguieron 8 Entidades:</w:t>
      </w:r>
      <w:r w:rsidR="00E226CA" w:rsidRPr="00AE36F0">
        <w:rPr>
          <w:rFonts w:ascii="Montserrat" w:eastAsia="Times New Roman" w:hAnsi="Montserrat" w:cs="Arial"/>
        </w:rPr>
        <w:t xml:space="preserve"> en donde la </w:t>
      </w:r>
      <w:r w:rsidR="0011110F" w:rsidRPr="00AE36F0">
        <w:rPr>
          <w:rFonts w:ascii="Montserrat" w:eastAsia="Times New Roman" w:hAnsi="Montserrat" w:cs="Arial"/>
        </w:rPr>
        <w:t>Comisión Estatal para la Planeación de la Educación Superior</w:t>
      </w:r>
      <w:r w:rsidR="00E226CA" w:rsidRPr="00AE36F0">
        <w:rPr>
          <w:rFonts w:ascii="Montserrat" w:eastAsia="Times New Roman" w:hAnsi="Montserrat" w:cs="Arial"/>
        </w:rPr>
        <w:t xml:space="preserve"> y la </w:t>
      </w:r>
      <w:r w:rsidR="0011110F" w:rsidRPr="00AE36F0">
        <w:rPr>
          <w:rFonts w:ascii="Montserrat" w:eastAsia="Times New Roman" w:hAnsi="Montserrat" w:cs="Arial"/>
        </w:rPr>
        <w:t xml:space="preserve"> </w:t>
      </w:r>
    </w:p>
    <w:p w14:paraId="07375053" w14:textId="6299F020" w:rsidR="0011110F" w:rsidRPr="00AE36F0" w:rsidRDefault="0011110F" w:rsidP="00B0059B">
      <w:pPr>
        <w:tabs>
          <w:tab w:val="left" w:pos="7260"/>
        </w:tabs>
        <w:jc w:val="both"/>
        <w:rPr>
          <w:rFonts w:ascii="Montserrat" w:eastAsia="Times New Roman" w:hAnsi="Montserrat" w:cs="Arial"/>
        </w:rPr>
      </w:pPr>
      <w:r w:rsidRPr="00AE36F0">
        <w:rPr>
          <w:rFonts w:ascii="Montserrat" w:eastAsia="Times New Roman" w:hAnsi="Montserrat" w:cs="Arial"/>
        </w:rPr>
        <w:t>Comisión Estatal para la Planeación de la Educación Media Superior</w:t>
      </w:r>
      <w:r w:rsidR="00E226CA" w:rsidRPr="00AE36F0">
        <w:rPr>
          <w:rFonts w:ascii="Montserrat" w:eastAsia="Times New Roman" w:hAnsi="Montserrat" w:cs="Arial"/>
        </w:rPr>
        <w:t xml:space="preserve">, también fueron absorbidas por la Secretaria de Educación Pública; las entidades </w:t>
      </w:r>
      <w:r w:rsidRPr="00AE36F0">
        <w:rPr>
          <w:rFonts w:ascii="Montserrat" w:eastAsia="Times New Roman" w:hAnsi="Montserrat" w:cs="Arial"/>
        </w:rPr>
        <w:t>Dirección General de Población de Oaxaca</w:t>
      </w:r>
      <w:r w:rsidR="00E226CA" w:rsidRPr="00AE36F0">
        <w:rPr>
          <w:rFonts w:ascii="Montserrat" w:eastAsia="Times New Roman" w:hAnsi="Montserrat" w:cs="Arial"/>
        </w:rPr>
        <w:t xml:space="preserve"> </w:t>
      </w:r>
      <w:r w:rsidR="00C431C1" w:rsidRPr="00AE36F0">
        <w:rPr>
          <w:rFonts w:ascii="Montserrat" w:eastAsia="Times New Roman" w:hAnsi="Montserrat" w:cs="Arial"/>
        </w:rPr>
        <w:t xml:space="preserve">e </w:t>
      </w:r>
      <w:r w:rsidRPr="00AE36F0">
        <w:rPr>
          <w:rFonts w:ascii="Montserrat" w:eastAsia="Times New Roman" w:hAnsi="Montserrat" w:cs="Arial"/>
        </w:rPr>
        <w:t>Instituto de Atención al Migrante Oaxaqueño</w:t>
      </w:r>
      <w:r w:rsidR="00C431C1" w:rsidRPr="00AE36F0">
        <w:rPr>
          <w:rFonts w:ascii="Montserrat" w:eastAsia="Times New Roman" w:hAnsi="Montserrat" w:cs="Arial"/>
        </w:rPr>
        <w:t xml:space="preserve"> fueron trasladadas a la Secretaría de Gobierno; el </w:t>
      </w:r>
      <w:r w:rsidRPr="00AE36F0">
        <w:rPr>
          <w:rFonts w:ascii="Montserrat" w:eastAsia="Times New Roman" w:hAnsi="Montserrat" w:cs="Arial"/>
        </w:rPr>
        <w:t>Instituto para el Fomento y la Protección de las Artesanías</w:t>
      </w:r>
      <w:r w:rsidR="00C431C1" w:rsidRPr="00AE36F0">
        <w:rPr>
          <w:rFonts w:ascii="Montserrat" w:eastAsia="Times New Roman" w:hAnsi="Montserrat" w:cs="Arial"/>
        </w:rPr>
        <w:t xml:space="preserve"> y el </w:t>
      </w:r>
      <w:r w:rsidRPr="00AE36F0">
        <w:rPr>
          <w:rFonts w:ascii="Montserrat" w:eastAsia="Times New Roman" w:hAnsi="Montserrat" w:cs="Arial"/>
        </w:rPr>
        <w:t>Instituto Oaxaqueño del Emprendedor y de la Competitividad</w:t>
      </w:r>
      <w:r w:rsidR="00C431C1" w:rsidRPr="00AE36F0">
        <w:rPr>
          <w:rFonts w:ascii="Montserrat" w:eastAsia="Times New Roman" w:hAnsi="Montserrat" w:cs="Arial"/>
        </w:rPr>
        <w:t xml:space="preserve"> fueron reubicadas en la Secretaría de Desarrollo Económico; la </w:t>
      </w:r>
      <w:r w:rsidRPr="00AE36F0">
        <w:rPr>
          <w:rFonts w:ascii="Montserrat" w:eastAsia="Times New Roman" w:hAnsi="Montserrat" w:cs="Arial"/>
        </w:rPr>
        <w:t>Coordinación Estatal del Corredor Interoceánico del Istmo</w:t>
      </w:r>
      <w:r w:rsidR="00C431C1" w:rsidRPr="00AE36F0">
        <w:rPr>
          <w:rFonts w:ascii="Montserrat" w:eastAsia="Times New Roman" w:hAnsi="Montserrat" w:cs="Arial"/>
        </w:rPr>
        <w:t xml:space="preserve"> fue trasladada a la </w:t>
      </w:r>
      <w:r w:rsidR="00C431C1" w:rsidRPr="00AE36F0">
        <w:rPr>
          <w:rFonts w:ascii="Montserrat" w:eastAsia="Times New Roman" w:hAnsi="Montserrat" w:cs="Arial"/>
        </w:rPr>
        <w:lastRenderedPageBreak/>
        <w:t>Gubernatura y por último</w:t>
      </w:r>
      <w:r w:rsidR="003D0075" w:rsidRPr="00AE36F0">
        <w:rPr>
          <w:rFonts w:ascii="Montserrat" w:eastAsia="Times New Roman" w:hAnsi="Montserrat" w:cs="Arial"/>
        </w:rPr>
        <w:t>,</w:t>
      </w:r>
      <w:r w:rsidR="00C431C1" w:rsidRPr="00AE36F0">
        <w:rPr>
          <w:rFonts w:ascii="Montserrat" w:eastAsia="Times New Roman" w:hAnsi="Montserrat" w:cs="Arial"/>
        </w:rPr>
        <w:t xml:space="preserve"> la </w:t>
      </w:r>
      <w:r w:rsidRPr="00AE36F0">
        <w:rPr>
          <w:rFonts w:ascii="Montserrat" w:eastAsia="Times New Roman" w:hAnsi="Montserrat" w:cs="Arial"/>
        </w:rPr>
        <w:t>Secretaría Ejecutiva del Sistema Estatal de Combate a la Corrupción</w:t>
      </w:r>
      <w:r w:rsidR="003D0075" w:rsidRPr="00AE36F0">
        <w:rPr>
          <w:rFonts w:ascii="Montserrat" w:eastAsia="Times New Roman" w:hAnsi="Montserrat" w:cs="Arial"/>
        </w:rPr>
        <w:t xml:space="preserve"> entidad que se extingue con la publicación de la abrogación de la Ley del Sistema de Combate a la Corrupción.</w:t>
      </w:r>
    </w:p>
    <w:p w14:paraId="13983504" w14:textId="77777777" w:rsidR="003D0075" w:rsidRPr="00AE36F0" w:rsidRDefault="003D0075" w:rsidP="00B0059B">
      <w:pPr>
        <w:tabs>
          <w:tab w:val="left" w:pos="7260"/>
        </w:tabs>
        <w:jc w:val="both"/>
        <w:rPr>
          <w:rFonts w:ascii="Montserrat" w:eastAsia="Times New Roman" w:hAnsi="Montserrat" w:cs="Arial"/>
        </w:rPr>
      </w:pPr>
    </w:p>
    <w:p w14:paraId="653E5B7D" w14:textId="5F8E6363" w:rsidR="002B7275" w:rsidRPr="00AE36F0" w:rsidRDefault="002B7275"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En cuanto a nuevas dependencias y entidades, durante el año 2024 se crearon 5 Entidades de la Administración Pública Paraestatal: Universidad Autónoma Comunal de Oaxaca, misma que pasó de Órgano Autónomo a finales del 2023 a Entidad Paraestatal a principio de 2024; Unidad de Inteligencia Patrimonial y Económica del Estado de Oaxaca, Universidad Politécnica y Tecnológica del Istmo de Tehuantepec, </w:t>
      </w:r>
      <w:proofErr w:type="spellStart"/>
      <w:r w:rsidRPr="00AE36F0">
        <w:rPr>
          <w:rFonts w:ascii="Montserrat" w:eastAsia="Times New Roman" w:hAnsi="Montserrat" w:cs="Arial"/>
        </w:rPr>
        <w:t>Afrouniversidad</w:t>
      </w:r>
      <w:proofErr w:type="spellEnd"/>
      <w:r w:rsidRPr="00AE36F0">
        <w:rPr>
          <w:rFonts w:ascii="Montserrat" w:eastAsia="Times New Roman" w:hAnsi="Montserrat" w:cs="Arial"/>
        </w:rPr>
        <w:t xml:space="preserve"> Politécnica Intercultural y la Coordinación para la Comercialización de Productos Oaxaqueños.</w:t>
      </w:r>
    </w:p>
    <w:p w14:paraId="3B369262" w14:textId="42342363" w:rsidR="002B7275" w:rsidRPr="00AE36F0" w:rsidRDefault="002B7275"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 </w:t>
      </w:r>
    </w:p>
    <w:p w14:paraId="17909BE1" w14:textId="44CC9839" w:rsidR="00F129E5" w:rsidRPr="00AE36F0" w:rsidRDefault="00B0059B" w:rsidP="00F129E5">
      <w:pPr>
        <w:tabs>
          <w:tab w:val="left" w:pos="7260"/>
        </w:tabs>
        <w:jc w:val="both"/>
        <w:rPr>
          <w:rFonts w:ascii="Montserrat" w:eastAsia="Times New Roman" w:hAnsi="Montserrat" w:cs="Arial"/>
        </w:rPr>
      </w:pPr>
      <w:r w:rsidRPr="00AE36F0">
        <w:rPr>
          <w:rFonts w:ascii="Montserrat" w:eastAsia="Times New Roman" w:hAnsi="Montserrat" w:cs="Arial"/>
        </w:rPr>
        <w:t xml:space="preserve">En total, </w:t>
      </w:r>
      <w:r w:rsidR="002B7275" w:rsidRPr="00AE36F0">
        <w:rPr>
          <w:rFonts w:ascii="Montserrat" w:eastAsia="Times New Roman" w:hAnsi="Montserrat" w:cs="Arial"/>
        </w:rPr>
        <w:t>durante</w:t>
      </w:r>
      <w:r w:rsidRPr="00AE36F0">
        <w:rPr>
          <w:rFonts w:ascii="Montserrat" w:eastAsia="Times New Roman" w:hAnsi="Montserrat" w:cs="Arial"/>
        </w:rPr>
        <w:t xml:space="preserve"> el año 2024 se extinguieron 2 dependencias, </w:t>
      </w:r>
      <w:r w:rsidR="00D97EEB" w:rsidRPr="00AE36F0">
        <w:rPr>
          <w:rFonts w:ascii="Montserrat" w:eastAsia="Times New Roman" w:hAnsi="Montserrat" w:cs="Arial"/>
        </w:rPr>
        <w:t>8</w:t>
      </w:r>
      <w:r w:rsidRPr="00AE36F0">
        <w:rPr>
          <w:rFonts w:ascii="Montserrat" w:eastAsia="Times New Roman" w:hAnsi="Montserrat" w:cs="Arial"/>
        </w:rPr>
        <w:t xml:space="preserve"> entidades y un órgano autónomo y se cre</w:t>
      </w:r>
      <w:r w:rsidR="00541428" w:rsidRPr="00AE36F0">
        <w:rPr>
          <w:rFonts w:ascii="Montserrat" w:eastAsia="Times New Roman" w:hAnsi="Montserrat" w:cs="Arial"/>
        </w:rPr>
        <w:t>aron 5</w:t>
      </w:r>
      <w:r w:rsidRPr="00AE36F0">
        <w:rPr>
          <w:rFonts w:ascii="Montserrat" w:eastAsia="Times New Roman" w:hAnsi="Montserrat" w:cs="Arial"/>
        </w:rPr>
        <w:t xml:space="preserve"> entidad paraestatal</w:t>
      </w:r>
      <w:r w:rsidR="00A259CD" w:rsidRPr="00AE36F0">
        <w:rPr>
          <w:rFonts w:ascii="Montserrat" w:eastAsia="Times New Roman" w:hAnsi="Montserrat" w:cs="Arial"/>
        </w:rPr>
        <w:t>.</w:t>
      </w:r>
    </w:p>
    <w:p w14:paraId="18219275" w14:textId="77777777" w:rsidR="00AF01BE" w:rsidRPr="00AE36F0" w:rsidRDefault="00AF01BE" w:rsidP="00F129E5">
      <w:pPr>
        <w:tabs>
          <w:tab w:val="left" w:pos="7260"/>
        </w:tabs>
        <w:jc w:val="both"/>
        <w:rPr>
          <w:rFonts w:ascii="Montserrat" w:eastAsia="Times New Roman" w:hAnsi="Montserrat" w:cs="Arial"/>
        </w:rPr>
      </w:pPr>
    </w:p>
    <w:p w14:paraId="2FC77591" w14:textId="2D1BD836" w:rsidR="00AF01BE" w:rsidRPr="00AE36F0" w:rsidRDefault="00AF01BE" w:rsidP="00F129E5">
      <w:pPr>
        <w:tabs>
          <w:tab w:val="left" w:pos="7260"/>
        </w:tabs>
        <w:jc w:val="both"/>
        <w:rPr>
          <w:rFonts w:ascii="Montserrat" w:eastAsia="Times New Roman" w:hAnsi="Montserrat" w:cs="Arial"/>
        </w:rPr>
      </w:pPr>
      <w:r w:rsidRPr="00AE36F0">
        <w:rPr>
          <w:rFonts w:ascii="Montserrat" w:eastAsia="Times New Roman" w:hAnsi="Montserrat" w:cs="Arial"/>
        </w:rPr>
        <w:t xml:space="preserve">En este sentido, durante el año 2025 el Gobernador Constitucional del Estado de Oaxaca ha emitido decretos para la creación de </w:t>
      </w:r>
      <w:r w:rsidR="008A084D" w:rsidRPr="00AE36F0">
        <w:rPr>
          <w:rFonts w:ascii="Montserrat" w:eastAsia="Times New Roman" w:hAnsi="Montserrat" w:cs="Arial"/>
        </w:rPr>
        <w:t>6</w:t>
      </w:r>
      <w:r w:rsidRPr="00AE36F0">
        <w:rPr>
          <w:rFonts w:ascii="Montserrat" w:eastAsia="Times New Roman" w:hAnsi="Montserrat" w:cs="Arial"/>
        </w:rPr>
        <w:t xml:space="preserve"> entidades del Sector Paraestatal: la Universidad Intercultural del Pueblo, el Instituto de Lenguas Originarias de Oaxaca</w:t>
      </w:r>
      <w:r w:rsidR="008A084D" w:rsidRPr="00AE36F0">
        <w:rPr>
          <w:rFonts w:ascii="Montserrat" w:eastAsia="Times New Roman" w:hAnsi="Montserrat" w:cs="Arial"/>
        </w:rPr>
        <w:t>,</w:t>
      </w:r>
      <w:r w:rsidRPr="00AE36F0">
        <w:rPr>
          <w:rFonts w:ascii="Montserrat" w:eastAsia="Times New Roman" w:hAnsi="Montserrat" w:cs="Arial"/>
        </w:rPr>
        <w:t xml:space="preserve"> el Instituto Estatal de Creación Literaria y Promoción de</w:t>
      </w:r>
      <w:r w:rsidR="008A084D" w:rsidRPr="00AE36F0">
        <w:rPr>
          <w:rFonts w:ascii="Montserrat" w:eastAsia="Times New Roman" w:hAnsi="Montserrat" w:cs="Arial"/>
        </w:rPr>
        <w:t xml:space="preserve"> la Lectura, la Dirección General del Centro Integralmente Planeado Huatulco, la Agencia de Tecnologías e Innovación Digital y la Coordinación General de Enlace Estatal del Corredor Interoceánico del Istmo de Tehuantepec.</w:t>
      </w:r>
    </w:p>
    <w:p w14:paraId="0FC74D01" w14:textId="79A2C65D" w:rsidR="00AF01BE" w:rsidRPr="00AE36F0" w:rsidRDefault="00B0059B" w:rsidP="00030D85">
      <w:pPr>
        <w:pStyle w:val="Prrafodelista"/>
        <w:widowControl w:val="0"/>
        <w:numPr>
          <w:ilvl w:val="0"/>
          <w:numId w:val="6"/>
        </w:numPr>
        <w:spacing w:before="240" w:after="240"/>
        <w:ind w:left="426" w:hanging="426"/>
        <w:jc w:val="both"/>
        <w:rPr>
          <w:rFonts w:ascii="Montserrat" w:eastAsia="Times New Roman" w:hAnsi="Montserrat" w:cs="Arial"/>
          <w:b/>
          <w:bCs/>
        </w:rPr>
      </w:pPr>
      <w:r w:rsidRPr="00AE36F0">
        <w:rPr>
          <w:rFonts w:ascii="Montserrat" w:hAnsi="Montserrat"/>
          <w:b/>
          <w:sz w:val="24"/>
          <w:szCs w:val="24"/>
        </w:rPr>
        <w:t>Panorama Económico</w:t>
      </w:r>
      <w:bookmarkStart w:id="3" w:name="_Hlk187928336"/>
      <w:r w:rsidR="00AF01BE" w:rsidRPr="00AE36F0">
        <w:rPr>
          <w:rFonts w:ascii="Montserrat" w:eastAsia="Times New Roman" w:hAnsi="Montserrat" w:cs="Arial"/>
          <w:b/>
          <w:bCs/>
        </w:rPr>
        <w:t>.</w:t>
      </w:r>
    </w:p>
    <w:p w14:paraId="3CAC9945" w14:textId="77777777" w:rsidR="005125FA" w:rsidRPr="00AE36F0" w:rsidRDefault="005125FA" w:rsidP="005125FA">
      <w:pPr>
        <w:jc w:val="both"/>
        <w:rPr>
          <w:rFonts w:ascii="Montserrat" w:hAnsi="Montserrat"/>
        </w:rPr>
      </w:pPr>
      <w:r w:rsidRPr="00AE36F0">
        <w:rPr>
          <w:rFonts w:ascii="Montserrat" w:hAnsi="Montserrat"/>
        </w:rPr>
        <w:t>A medida que las políticas adoptadas recientemente se esclarecen poco a poco, el pronóstico a corto plazo se revisa ligeramente al alza, si bien el crecimiento mundial sigue siendo moderado.</w:t>
      </w:r>
    </w:p>
    <w:p w14:paraId="5AC18109" w14:textId="77777777" w:rsidR="005125FA" w:rsidRPr="00AE36F0" w:rsidRDefault="005125FA" w:rsidP="005125FA">
      <w:pPr>
        <w:jc w:val="both"/>
        <w:rPr>
          <w:rFonts w:ascii="Montserrat" w:hAnsi="Montserrat"/>
        </w:rPr>
      </w:pPr>
    </w:p>
    <w:p w14:paraId="4480C3CF" w14:textId="77777777" w:rsidR="005125FA" w:rsidRPr="00AE36F0" w:rsidRDefault="005125FA" w:rsidP="005125FA">
      <w:pPr>
        <w:jc w:val="both"/>
        <w:rPr>
          <w:rFonts w:ascii="Montserrat" w:hAnsi="Montserrat"/>
        </w:rPr>
      </w:pPr>
      <w:r w:rsidRPr="00AE36F0">
        <w:rPr>
          <w:rFonts w:ascii="Montserrat" w:hAnsi="Montserrat"/>
        </w:rPr>
        <w:t xml:space="preserve">La economía mundial se está adaptando a un panorama transformado por nuevas políticas. Algunas de las posiciones extremas respecto a la imposición de aranceles más altos se han moderado, gracias a los acuerdos y replanteamientos posteriores. Pero el entorno general sigue siendo volátil, y los factores temporales que respaldaron la actividad en el primer </w:t>
      </w:r>
      <w:r w:rsidRPr="00AE36F0">
        <w:rPr>
          <w:rFonts w:ascii="Montserrat" w:hAnsi="Montserrat"/>
        </w:rPr>
        <w:lastRenderedPageBreak/>
        <w:t>semestre de 2025, como el adelanto de la actividad comercial, se están atenuando.</w:t>
      </w:r>
    </w:p>
    <w:p w14:paraId="68E848FA" w14:textId="77777777" w:rsidR="005125FA" w:rsidRPr="00AE36F0" w:rsidRDefault="005125FA" w:rsidP="005125FA">
      <w:pPr>
        <w:jc w:val="both"/>
        <w:rPr>
          <w:rFonts w:ascii="Montserrat" w:hAnsi="Montserrat"/>
        </w:rPr>
      </w:pPr>
    </w:p>
    <w:p w14:paraId="1AE4AA94" w14:textId="77777777" w:rsidR="005125FA" w:rsidRPr="00AE36F0" w:rsidRDefault="005125FA" w:rsidP="005125FA">
      <w:pPr>
        <w:jc w:val="both"/>
        <w:rPr>
          <w:rFonts w:ascii="Montserrat" w:hAnsi="Montserrat"/>
        </w:rPr>
      </w:pPr>
      <w:r w:rsidRPr="00AE36F0">
        <w:rPr>
          <w:rFonts w:ascii="Montserrat" w:hAnsi="Montserrat"/>
        </w:rPr>
        <w:t>Se urge a las autoridades a restablecer la confianza con políticas creíbles, transparentes y sostenibles. La diplomacia comercial debe acompañarse de ajustes macroeconómicos. Deben recomponerse los márgenes de maniobra fiscal. Debe preservarse la independencia de los bancos centrales. Deben redoblarse los esfuerzos en aras de reformas estructurales. Como se indica en el capítulo 2, a los países les han venido bien las medidas adoptadas en el pasado para mejorar los marcos de las políticas. Como se demuestra en el capítulo 3, la política industrial puede tener una función, pero se deben considerar plenamente los costos de oportunidad y los sacrificios que implica aprovecharlos.</w:t>
      </w:r>
    </w:p>
    <w:p w14:paraId="5170A317" w14:textId="0C556312" w:rsidR="005125FA" w:rsidRPr="00AE36F0" w:rsidRDefault="005125FA" w:rsidP="005125FA">
      <w:pPr>
        <w:pStyle w:val="NormalWeb"/>
        <w:shd w:val="clear" w:color="auto" w:fill="FFFFFF"/>
        <w:jc w:val="both"/>
        <w:rPr>
          <w:rFonts w:ascii="Montserrat" w:hAnsi="Montserrat" w:cs="Helvetica"/>
          <w:color w:val="333333"/>
        </w:rPr>
      </w:pPr>
      <w:r w:rsidRPr="00AE36F0">
        <w:rPr>
          <w:rStyle w:val="Textoennegrita"/>
          <w:rFonts w:ascii="Montserrat" w:eastAsiaTheme="majorEastAsia" w:hAnsi="Montserrat" w:cs="Helvetica"/>
          <w:color w:val="333333"/>
        </w:rPr>
        <w:t>La economía mundial ha mostrado resiliencia, pero las perspectivas siguen ensombrecidas por tensiones comerciales, presiones fiscales e incertidumbre persistente.</w:t>
      </w:r>
      <w:r w:rsidRPr="00AE36F0">
        <w:rPr>
          <w:rFonts w:ascii="Montserrat" w:hAnsi="Montserrat" w:cs="Helvetica"/>
          <w:color w:val="333333"/>
        </w:rPr>
        <w:t> Se prevé que el crecimiento se desacelere al 2.7% en 2026, por debajo de los niveles de 2025 y del promedio anterior a la pandemia, ya que la inversión moderada y los obstáculos estructurales lastran el impulso pese a la disminución de la inflación y el relajamiento monetario.</w:t>
      </w:r>
    </w:p>
    <w:p w14:paraId="692D9374" w14:textId="77777777" w:rsidR="005125FA" w:rsidRPr="00AE36F0" w:rsidRDefault="005125FA" w:rsidP="005125FA">
      <w:pPr>
        <w:pStyle w:val="NormalWeb"/>
        <w:shd w:val="clear" w:color="auto" w:fill="FFFFFF"/>
        <w:jc w:val="both"/>
        <w:rPr>
          <w:rFonts w:ascii="Montserrat" w:hAnsi="Montserrat" w:cs="Helvetica"/>
          <w:color w:val="333333"/>
        </w:rPr>
      </w:pPr>
      <w:r w:rsidRPr="00AE36F0">
        <w:rPr>
          <w:rStyle w:val="Textoennegrita"/>
          <w:rFonts w:ascii="Montserrat" w:eastAsiaTheme="majorEastAsia" w:hAnsi="Montserrat" w:cs="Helvetica"/>
          <w:color w:val="333333"/>
        </w:rPr>
        <w:t>Sin una mayor coordinación de políticas, las presiones actuales amenazan con encasillar al mundo en una senda de bajo crecimiento.</w:t>
      </w:r>
      <w:r w:rsidRPr="00AE36F0">
        <w:rPr>
          <w:rFonts w:ascii="Montserrat" w:hAnsi="Montserrat" w:cs="Helvetica"/>
          <w:color w:val="333333"/>
        </w:rPr>
        <w:t> El escaso margen fiscal, la desinflación desigual y el debilitamiento de la cooperación multilateral están frenando el avance hacia los Objetivos de Desarrollo Sostenible, especialmente en las economías en desarrollo y vulnerables al clima.</w:t>
      </w:r>
    </w:p>
    <w:p w14:paraId="147EAAC6" w14:textId="77777777" w:rsidR="005125FA" w:rsidRPr="00AE36F0" w:rsidRDefault="005125FA" w:rsidP="005125FA">
      <w:pPr>
        <w:jc w:val="both"/>
        <w:rPr>
          <w:rFonts w:ascii="Montserrat" w:hAnsi="Montserrat"/>
        </w:rPr>
      </w:pPr>
      <w:r w:rsidRPr="00AE36F0">
        <w:rPr>
          <w:rFonts w:ascii="Montserrat" w:hAnsi="Montserrat"/>
        </w:rPr>
        <w:t>Puntos clave:</w:t>
      </w:r>
    </w:p>
    <w:p w14:paraId="5A6A3B67" w14:textId="77777777" w:rsidR="005125FA" w:rsidRPr="00AE36F0" w:rsidRDefault="005125FA" w:rsidP="005125FA">
      <w:pPr>
        <w:jc w:val="both"/>
        <w:rPr>
          <w:rFonts w:ascii="Montserrat" w:hAnsi="Montserrat"/>
        </w:rPr>
      </w:pPr>
      <w:r w:rsidRPr="00AE36F0">
        <w:rPr>
          <w:rFonts w:ascii="Montserrat" w:hAnsi="Montserrat"/>
        </w:rPr>
        <w:t>El crecimiento global se desacelera y sigue siendo desigual entre regiones. Se proyecta que la producción mundial se desacelere al 2,7% en 2026, antes de repuntar al 2,9% en 2027, aún por debajo del promedio prepandémico de 3,2%. Si bien la demanda interna y el relajamiento de políticas apoyan la actividad en Estados Unidos y partes de Asia, el crecimiento sigue débil en Europa y la elevada deuda y los choques climáticos continúan limitando a muchas economías en desarrollo.</w:t>
      </w:r>
    </w:p>
    <w:p w14:paraId="5F228AB0" w14:textId="77777777" w:rsidR="005125FA" w:rsidRPr="00AE36F0" w:rsidRDefault="005125FA" w:rsidP="005125FA">
      <w:pPr>
        <w:jc w:val="both"/>
        <w:rPr>
          <w:rFonts w:ascii="Montserrat" w:hAnsi="Montserrat"/>
        </w:rPr>
      </w:pPr>
    </w:p>
    <w:p w14:paraId="3875D794" w14:textId="77777777" w:rsidR="005125FA" w:rsidRPr="00AE36F0" w:rsidRDefault="005125FA" w:rsidP="005125FA">
      <w:pPr>
        <w:jc w:val="both"/>
        <w:rPr>
          <w:rFonts w:ascii="Montserrat" w:hAnsi="Montserrat"/>
        </w:rPr>
      </w:pPr>
      <w:r w:rsidRPr="00AE36F0">
        <w:rPr>
          <w:rFonts w:ascii="Montserrat" w:hAnsi="Montserrat"/>
        </w:rPr>
        <w:t>El comercio y la inversión afrontan crecientes obstáculos. El comercio mundial tuvo un desempeño superior al esperado en 2025, impulsado por envíos anticipados antes de mayores aranceles y exportaciones sólidas de servicios. Pero se prevé que el crecimiento se desacelere en 2026, a medida que desaparecen los impulsores temporales y persisten las barreras comerciales y la incertidumbre en las políticas. La inversión continúa moderada en la mayoría de las regiones.</w:t>
      </w:r>
    </w:p>
    <w:p w14:paraId="7325AFDC" w14:textId="77777777" w:rsidR="005125FA" w:rsidRPr="00AE36F0" w:rsidRDefault="005125FA" w:rsidP="005125FA">
      <w:pPr>
        <w:jc w:val="both"/>
        <w:rPr>
          <w:rFonts w:ascii="Montserrat" w:hAnsi="Montserrat"/>
        </w:rPr>
      </w:pPr>
    </w:p>
    <w:p w14:paraId="1BDC1798" w14:textId="4B2F5D93" w:rsidR="005125FA" w:rsidRPr="00AE36F0" w:rsidRDefault="005125FA" w:rsidP="005125FA">
      <w:pPr>
        <w:jc w:val="both"/>
        <w:rPr>
          <w:rFonts w:ascii="Montserrat" w:hAnsi="Montserrat"/>
        </w:rPr>
      </w:pPr>
      <w:r w:rsidRPr="00AE36F0">
        <w:rPr>
          <w:rFonts w:ascii="Montserrat" w:hAnsi="Montserrat"/>
        </w:rPr>
        <w:t>La inflación disminuye, pero persiste la presión sobre el costo de vida. Se proyecta que la inflación mundial baje a 3,1% en 2026 desde 3,4% en 2025. Sin embargo, los altos precios siguen erosionando los ingresos reales, sobre todo en los hogares de bajos ingresos, con los costos de alimentos, energía y vivienda como principales fuentes de presión y desigualdad.</w:t>
      </w:r>
    </w:p>
    <w:p w14:paraId="15FA036E" w14:textId="77777777" w:rsidR="005125FA" w:rsidRPr="00AE36F0" w:rsidRDefault="005125FA" w:rsidP="005125FA">
      <w:pPr>
        <w:jc w:val="both"/>
        <w:rPr>
          <w:rFonts w:ascii="Montserrat" w:hAnsi="Montserrat"/>
        </w:rPr>
      </w:pPr>
    </w:p>
    <w:p w14:paraId="6581D8FD" w14:textId="07D87480" w:rsidR="005125FA" w:rsidRPr="00AE36F0" w:rsidRDefault="005125FA" w:rsidP="005125FA">
      <w:pPr>
        <w:jc w:val="both"/>
        <w:rPr>
          <w:rFonts w:ascii="Montserrat" w:hAnsi="Montserrat"/>
        </w:rPr>
      </w:pPr>
      <w:r w:rsidRPr="00AE36F0">
        <w:rPr>
          <w:rFonts w:ascii="Montserrat" w:hAnsi="Montserrat"/>
        </w:rPr>
        <w:t>Las condiciones financieras se han relajado, pero los riesgos siguen elevados. Las tasas de interés más bajas y el mejor ánimo de los mercados han ayudado a reactivar los flujos de capital, pero las altas valoraciones de activos —especialmente en sectores relacionados con la inteligencia artificial— y los costos de endeudamiento todavía elevados siguen representando riesgos. Muchas economías en desarrollo siguen limitadas por cargas de deuda pesada y escaso acceso a financiamiento asequible.</w:t>
      </w:r>
    </w:p>
    <w:p w14:paraId="5FB8BFE1" w14:textId="77777777" w:rsidR="005125FA" w:rsidRPr="00AE36F0" w:rsidRDefault="005125FA" w:rsidP="005125FA">
      <w:pPr>
        <w:jc w:val="both"/>
        <w:rPr>
          <w:rFonts w:ascii="Montserrat" w:hAnsi="Montserrat"/>
        </w:rPr>
      </w:pPr>
    </w:p>
    <w:p w14:paraId="416E59A5" w14:textId="33625DE4" w:rsidR="005125FA" w:rsidRPr="00AE36F0" w:rsidRDefault="005125FA" w:rsidP="005125FA">
      <w:pPr>
        <w:jc w:val="both"/>
        <w:rPr>
          <w:rFonts w:ascii="Montserrat" w:hAnsi="Montserrat"/>
        </w:rPr>
      </w:pPr>
      <w:r w:rsidRPr="00AE36F0">
        <w:rPr>
          <w:rFonts w:ascii="Montserrat" w:hAnsi="Montserrat"/>
        </w:rPr>
        <w:t>El Banco Mundial elevó este martes su previsión de crecimiento global para 2026, pero advirtió sobre una disparidad cada vez mayor en los niveles de vida en el mundo, junto con un enfriamiento del comercio y la demanda.</w:t>
      </w:r>
    </w:p>
    <w:p w14:paraId="74BE2B40" w14:textId="77777777" w:rsidR="005125FA" w:rsidRPr="00AE36F0" w:rsidRDefault="005125FA" w:rsidP="005125FA">
      <w:pPr>
        <w:jc w:val="both"/>
        <w:rPr>
          <w:rFonts w:ascii="Montserrat" w:hAnsi="Montserrat"/>
        </w:rPr>
      </w:pPr>
    </w:p>
    <w:p w14:paraId="4171F2D2" w14:textId="4DA60297" w:rsidR="005125FA" w:rsidRPr="00AE36F0" w:rsidRDefault="005125FA" w:rsidP="005125FA">
      <w:pPr>
        <w:jc w:val="both"/>
        <w:rPr>
          <w:rFonts w:ascii="Montserrat" w:hAnsi="Montserrat"/>
        </w:rPr>
      </w:pPr>
      <w:r w:rsidRPr="00AE36F0">
        <w:rPr>
          <w:rFonts w:ascii="Montserrat" w:hAnsi="Montserrat"/>
        </w:rPr>
        <w:t xml:space="preserve">El Banco Mundial (BM) en su informe de perspectivas económicas globales actualizado, prevé un crecimiento del PIB mundial del 2.6% este año. Mejorando en 0.2 % (dos décimas) superior a lo previsto en el mes de junio de 2025. </w:t>
      </w:r>
    </w:p>
    <w:p w14:paraId="70393868" w14:textId="77777777" w:rsidR="005125FA" w:rsidRPr="00AE36F0" w:rsidRDefault="005125FA" w:rsidP="005125FA">
      <w:pPr>
        <w:jc w:val="both"/>
        <w:rPr>
          <w:rFonts w:ascii="Montserrat" w:hAnsi="Montserrat"/>
        </w:rPr>
      </w:pPr>
    </w:p>
    <w:p w14:paraId="4B7D4100" w14:textId="3E8E32A2" w:rsidR="005125FA" w:rsidRPr="00AE36F0" w:rsidRDefault="005125FA" w:rsidP="005125FA">
      <w:pPr>
        <w:jc w:val="both"/>
        <w:rPr>
          <w:rFonts w:ascii="Montserrat" w:hAnsi="Montserrat"/>
        </w:rPr>
      </w:pPr>
      <w:r w:rsidRPr="00AE36F0">
        <w:rPr>
          <w:rFonts w:ascii="Montserrat" w:hAnsi="Montserrat"/>
        </w:rPr>
        <w:t>Pero la tasa aún supone una desaceleración respecto al ritmo del 2.7% observado en 2025, y el Banco Mundial advierte que la década de 2020 "va camino de ser la más débil para el crecimiento global desde la de 1960".</w:t>
      </w:r>
    </w:p>
    <w:p w14:paraId="52E6F1AC" w14:textId="77777777" w:rsidR="005125FA" w:rsidRPr="00AE36F0" w:rsidRDefault="005125FA" w:rsidP="005125FA">
      <w:pPr>
        <w:jc w:val="both"/>
        <w:rPr>
          <w:rFonts w:ascii="Montserrat" w:hAnsi="Montserrat"/>
        </w:rPr>
      </w:pPr>
    </w:p>
    <w:p w14:paraId="1F336742" w14:textId="5E35D987" w:rsidR="005125FA" w:rsidRPr="00AE36F0" w:rsidRDefault="005125FA" w:rsidP="005125FA">
      <w:pPr>
        <w:jc w:val="both"/>
        <w:rPr>
          <w:rFonts w:ascii="Montserrat" w:hAnsi="Montserrat"/>
        </w:rPr>
      </w:pPr>
      <w:r w:rsidRPr="00AE36F0">
        <w:rPr>
          <w:rFonts w:ascii="Montserrat" w:hAnsi="Montserrat"/>
        </w:rPr>
        <w:lastRenderedPageBreak/>
        <w:t>La opinión del BM con respecto a la economía mundial es desalentadora al referirse que ha sido más resiliente de lo esperado durante el último año, señaló el informe, pese a una "escalada histórica de las tensiones comerciales y la incertidumbre de las políticas" económicas.</w:t>
      </w:r>
    </w:p>
    <w:p w14:paraId="1E070DF3" w14:textId="77777777" w:rsidR="005125FA" w:rsidRPr="00AE36F0" w:rsidRDefault="005125FA" w:rsidP="005125FA">
      <w:pPr>
        <w:jc w:val="both"/>
        <w:rPr>
          <w:rFonts w:ascii="Montserrat" w:hAnsi="Montserrat"/>
        </w:rPr>
      </w:pPr>
    </w:p>
    <w:p w14:paraId="120D02AE" w14:textId="00D24754" w:rsidR="005125FA" w:rsidRPr="00AE36F0" w:rsidRDefault="005125FA" w:rsidP="005125FA">
      <w:pPr>
        <w:jc w:val="both"/>
        <w:rPr>
          <w:rFonts w:ascii="Montserrat" w:hAnsi="Montserrat"/>
        </w:rPr>
      </w:pPr>
      <w:r w:rsidRPr="00AE36F0">
        <w:rPr>
          <w:rFonts w:ascii="Montserrat" w:hAnsi="Montserrat"/>
        </w:rPr>
        <w:t>No descarta el efecto provocado a las declaraciones poco después de asumir el poder, hace un año, el presidente Donald Trump cuando anunció aranceles generalizados sobre los socios comerciales de Estados Unidos, lo que perturbó las cadenas de suministro y aumentó la incertidumbre económica.</w:t>
      </w:r>
    </w:p>
    <w:p w14:paraId="458AB815" w14:textId="77777777" w:rsidR="005125FA" w:rsidRPr="00AE36F0" w:rsidRDefault="005125FA" w:rsidP="005125FA">
      <w:pPr>
        <w:jc w:val="both"/>
        <w:rPr>
          <w:rFonts w:ascii="Montserrat" w:hAnsi="Montserrat"/>
        </w:rPr>
      </w:pPr>
    </w:p>
    <w:p w14:paraId="182C8D6D" w14:textId="0FAEF21B" w:rsidR="005125FA" w:rsidRPr="00AE36F0" w:rsidRDefault="005125FA" w:rsidP="005125FA">
      <w:pPr>
        <w:jc w:val="both"/>
        <w:rPr>
          <w:rFonts w:ascii="Montserrat" w:hAnsi="Montserrat"/>
        </w:rPr>
      </w:pPr>
      <w:r w:rsidRPr="00AE36F0">
        <w:rPr>
          <w:rFonts w:ascii="Montserrat" w:hAnsi="Montserrat"/>
        </w:rPr>
        <w:t>Numerosas empresas estadounidenses incrementaron las importaciones antes de la entrada en vigor de los nuevos gravámenes, y paralelamente hubo un auge de inversiones relacionadas con la inteligencia artificial, añadió el BM.</w:t>
      </w:r>
    </w:p>
    <w:p w14:paraId="1C780D90" w14:textId="77777777" w:rsidR="005125FA" w:rsidRPr="00AE36F0" w:rsidRDefault="005125FA" w:rsidP="005125FA">
      <w:pPr>
        <w:jc w:val="both"/>
        <w:rPr>
          <w:rFonts w:ascii="Montserrat" w:hAnsi="Montserrat"/>
        </w:rPr>
      </w:pPr>
    </w:p>
    <w:p w14:paraId="003A5BA1" w14:textId="75C4DDA6" w:rsidR="005125FA" w:rsidRPr="00AE36F0" w:rsidRDefault="005125FA" w:rsidP="005125FA">
      <w:pPr>
        <w:jc w:val="both"/>
        <w:rPr>
          <w:rFonts w:ascii="Montserrat" w:hAnsi="Montserrat"/>
        </w:rPr>
      </w:pPr>
      <w:r w:rsidRPr="00AE36F0">
        <w:rPr>
          <w:rFonts w:ascii="Montserrat" w:hAnsi="Montserrat"/>
        </w:rPr>
        <w:t>Ahora se espera que el crecimiento del comercio global "se desacelere marcadamente en 2026, a medida que se desvanece el acopio [de reservas] y se intensifica el impacto de las medidas arancelarias", señaló el Banco Mundial.</w:t>
      </w:r>
    </w:p>
    <w:p w14:paraId="3C3D9478" w14:textId="77777777" w:rsidR="005125FA" w:rsidRPr="00AE36F0" w:rsidRDefault="005125FA" w:rsidP="005125FA">
      <w:pPr>
        <w:jc w:val="both"/>
        <w:rPr>
          <w:rFonts w:ascii="Montserrat" w:hAnsi="Montserrat"/>
        </w:rPr>
      </w:pPr>
    </w:p>
    <w:p w14:paraId="59D9D879" w14:textId="44AD0249" w:rsidR="005125FA" w:rsidRPr="00AE36F0" w:rsidRDefault="005125FA" w:rsidP="005125FA">
      <w:pPr>
        <w:jc w:val="both"/>
        <w:rPr>
          <w:rFonts w:ascii="Montserrat" w:hAnsi="Montserrat"/>
        </w:rPr>
      </w:pPr>
      <w:r w:rsidRPr="00AE36F0">
        <w:rPr>
          <w:rFonts w:ascii="Montserrat" w:hAnsi="Montserrat"/>
        </w:rPr>
        <w:t>A medida que los países se ajusten y la incertidumbre de las políticas disminuya, el BM anticipa que el crecimiento del comercio volverá a afianzarse en 2027.</w:t>
      </w:r>
    </w:p>
    <w:p w14:paraId="36A0539A" w14:textId="77777777" w:rsidR="005125FA" w:rsidRPr="00AE36F0" w:rsidRDefault="005125FA" w:rsidP="005125FA">
      <w:pPr>
        <w:jc w:val="both"/>
        <w:rPr>
          <w:rFonts w:ascii="Montserrat" w:hAnsi="Montserrat"/>
          <w:b/>
          <w:bCs/>
        </w:rPr>
      </w:pPr>
    </w:p>
    <w:p w14:paraId="15528183" w14:textId="2175934A" w:rsidR="005125FA" w:rsidRPr="00AE36F0" w:rsidRDefault="005125FA" w:rsidP="005125FA">
      <w:pPr>
        <w:jc w:val="both"/>
        <w:rPr>
          <w:rFonts w:ascii="Montserrat" w:hAnsi="Montserrat"/>
          <w:b/>
          <w:bCs/>
        </w:rPr>
      </w:pPr>
      <w:r w:rsidRPr="00AE36F0">
        <w:rPr>
          <w:rFonts w:ascii="Montserrat" w:hAnsi="Montserrat"/>
          <w:b/>
          <w:bCs/>
        </w:rPr>
        <w:t>ESTADOS UNIDOS.</w:t>
      </w:r>
    </w:p>
    <w:p w14:paraId="2BC37D23" w14:textId="77777777" w:rsidR="002B48D3" w:rsidRPr="00AE36F0" w:rsidRDefault="002B48D3" w:rsidP="005125FA">
      <w:pPr>
        <w:jc w:val="both"/>
        <w:rPr>
          <w:rFonts w:ascii="Montserrat" w:hAnsi="Montserrat"/>
          <w:b/>
          <w:bCs/>
        </w:rPr>
      </w:pPr>
    </w:p>
    <w:p w14:paraId="193F4181" w14:textId="77777777" w:rsidR="005125FA" w:rsidRPr="00AE36F0" w:rsidRDefault="005125FA" w:rsidP="005125FA">
      <w:pPr>
        <w:spacing w:line="360" w:lineRule="atLeast"/>
        <w:jc w:val="both"/>
        <w:rPr>
          <w:rFonts w:ascii="Montserrat" w:eastAsia="Times New Roman" w:hAnsi="Montserrat" w:cs="Arial"/>
        </w:rPr>
      </w:pPr>
      <w:r w:rsidRPr="00AE36F0">
        <w:rPr>
          <w:rFonts w:ascii="Montserrat" w:eastAsia="Times New Roman" w:hAnsi="Montserrat" w:cs="Arial"/>
        </w:rPr>
        <w:t>La perspectiva del crecimiento económico de los Estados Unidos de América a inicios de 2026, la economía de Estados Unidos muestra una notable resiliencia, consolidándose como la mayor del mundo con un PIB proyectado de </w:t>
      </w:r>
      <w:r w:rsidRPr="00AE36F0">
        <w:rPr>
          <w:rFonts w:ascii="Montserrat" w:eastAsia="Times New Roman" w:hAnsi="Montserrat" w:cs="Arial"/>
          <w:b/>
          <w:bCs/>
        </w:rPr>
        <w:t>31.8 billones de dólares</w:t>
      </w:r>
      <w:r w:rsidRPr="00AE36F0">
        <w:rPr>
          <w:rFonts w:ascii="Montserrat" w:eastAsia="Times New Roman" w:hAnsi="Montserrat" w:cs="Arial"/>
        </w:rPr>
        <w:t>. El panorama general se caracteriza por un crecimiento moderado pero estable, una inflación que cede lentamente y un ciclo de flexibilización monetaria por parte de la Reserva Federal (Fed). </w:t>
      </w:r>
    </w:p>
    <w:p w14:paraId="79634223" w14:textId="77777777" w:rsidR="005125FA" w:rsidRPr="00AE36F0" w:rsidRDefault="005125FA" w:rsidP="005125FA">
      <w:pPr>
        <w:spacing w:line="420" w:lineRule="atLeast"/>
        <w:jc w:val="both"/>
        <w:rPr>
          <w:rFonts w:ascii="Montserrat" w:eastAsia="Times New Roman" w:hAnsi="Montserrat" w:cs="Arial"/>
          <w:b/>
          <w:bCs/>
          <w:color w:val="0A0A0A"/>
        </w:rPr>
      </w:pPr>
    </w:p>
    <w:p w14:paraId="2AC0AD35" w14:textId="3FB40CFE" w:rsidR="005125FA" w:rsidRPr="00AE36F0" w:rsidRDefault="005125FA" w:rsidP="005125FA">
      <w:pPr>
        <w:spacing w:line="420" w:lineRule="atLeast"/>
        <w:jc w:val="both"/>
        <w:rPr>
          <w:rFonts w:ascii="Montserrat" w:eastAsia="Times New Roman" w:hAnsi="Montserrat" w:cs="Arial"/>
          <w:b/>
          <w:bCs/>
          <w:color w:val="0A0A0A"/>
        </w:rPr>
      </w:pPr>
      <w:r w:rsidRPr="00AE36F0">
        <w:rPr>
          <w:rFonts w:ascii="Montserrat" w:eastAsia="Times New Roman" w:hAnsi="Montserrat" w:cs="Arial"/>
          <w:b/>
          <w:bCs/>
          <w:color w:val="0A0A0A"/>
        </w:rPr>
        <w:lastRenderedPageBreak/>
        <w:t>Indicadores Clave para 2026</w:t>
      </w:r>
    </w:p>
    <w:p w14:paraId="3CC19EB3" w14:textId="77777777" w:rsidR="005125FA" w:rsidRPr="00AE36F0" w:rsidRDefault="005125FA" w:rsidP="005125FA">
      <w:pPr>
        <w:numPr>
          <w:ilvl w:val="0"/>
          <w:numId w:val="42"/>
        </w:numPr>
        <w:spacing w:after="180" w:line="360" w:lineRule="atLeast"/>
        <w:jc w:val="both"/>
        <w:rPr>
          <w:rFonts w:ascii="Montserrat" w:eastAsia="Times New Roman" w:hAnsi="Montserrat" w:cs="Arial"/>
        </w:rPr>
      </w:pPr>
      <w:r w:rsidRPr="00AE36F0">
        <w:rPr>
          <w:rFonts w:ascii="Montserrat" w:eastAsia="Times New Roman" w:hAnsi="Montserrat" w:cs="Arial"/>
          <w:b/>
          <w:bCs/>
        </w:rPr>
        <w:t>Crecimiento del PIB:</w:t>
      </w:r>
      <w:r w:rsidRPr="00AE36F0">
        <w:rPr>
          <w:rFonts w:ascii="Montserrat" w:eastAsia="Times New Roman" w:hAnsi="Montserrat" w:cs="Arial"/>
        </w:rPr>
        <w:t> Se estima una expansión de entre el </w:t>
      </w:r>
      <w:r w:rsidRPr="00AE36F0">
        <w:rPr>
          <w:rFonts w:ascii="Montserrat" w:eastAsia="Times New Roman" w:hAnsi="Montserrat" w:cs="Arial"/>
          <w:b/>
          <w:bCs/>
        </w:rPr>
        <w:t>2.0% y 2.2%</w:t>
      </w:r>
      <w:r w:rsidRPr="00AE36F0">
        <w:rPr>
          <w:rFonts w:ascii="Montserrat" w:eastAsia="Times New Roman" w:hAnsi="Montserrat" w:cs="Arial"/>
        </w:rPr>
        <w:t>. Organismos como Goldman Sachs son más optimistas, proyectando un crecimiento anual de hasta el </w:t>
      </w:r>
      <w:r w:rsidRPr="00AE36F0">
        <w:rPr>
          <w:rFonts w:ascii="Montserrat" w:eastAsia="Times New Roman" w:hAnsi="Montserrat" w:cs="Arial"/>
          <w:b/>
          <w:bCs/>
        </w:rPr>
        <w:t>2.8%</w:t>
      </w:r>
      <w:r w:rsidRPr="00AE36F0">
        <w:rPr>
          <w:rFonts w:ascii="Montserrat" w:eastAsia="Times New Roman" w:hAnsi="Montserrat" w:cs="Arial"/>
        </w:rPr>
        <w:t> impulsado por inversiones en Inteligencia Artificial y una productividad sólida.</w:t>
      </w:r>
    </w:p>
    <w:p w14:paraId="6AF207B3" w14:textId="77777777" w:rsidR="005125FA" w:rsidRPr="00AE36F0" w:rsidRDefault="005125FA" w:rsidP="005125FA">
      <w:pPr>
        <w:numPr>
          <w:ilvl w:val="0"/>
          <w:numId w:val="42"/>
        </w:numPr>
        <w:spacing w:after="180" w:line="360" w:lineRule="atLeast"/>
        <w:jc w:val="both"/>
        <w:rPr>
          <w:rFonts w:ascii="Montserrat" w:eastAsia="Times New Roman" w:hAnsi="Montserrat" w:cs="Arial"/>
        </w:rPr>
      </w:pPr>
      <w:r w:rsidRPr="00AE36F0">
        <w:rPr>
          <w:rFonts w:ascii="Montserrat" w:eastAsia="Times New Roman" w:hAnsi="Montserrat" w:cs="Arial"/>
          <w:b/>
          <w:bCs/>
        </w:rPr>
        <w:t>Inflación:</w:t>
      </w:r>
      <w:r w:rsidRPr="00AE36F0">
        <w:rPr>
          <w:rFonts w:ascii="Montserrat" w:eastAsia="Times New Roman" w:hAnsi="Montserrat" w:cs="Arial"/>
        </w:rPr>
        <w:t> Se prevé que el Índice de Precios al Consumidor (IPC) cierre el año cerca del </w:t>
      </w:r>
      <w:r w:rsidRPr="00AE36F0">
        <w:rPr>
          <w:rFonts w:ascii="Montserrat" w:eastAsia="Times New Roman" w:hAnsi="Montserrat" w:cs="Arial"/>
          <w:b/>
          <w:bCs/>
        </w:rPr>
        <w:t>2.7% - 3.1%</w:t>
      </w:r>
      <w:r w:rsidRPr="00AE36F0">
        <w:rPr>
          <w:rFonts w:ascii="Montserrat" w:eastAsia="Times New Roman" w:hAnsi="Montserrat" w:cs="Arial"/>
        </w:rPr>
        <w:t>. Aunque persiste por encima del objetivo del 2% de la Fed, se espera una tendencia a la baja hacia finales de año.</w:t>
      </w:r>
    </w:p>
    <w:p w14:paraId="621E5397" w14:textId="77777777" w:rsidR="005125FA" w:rsidRPr="00AE36F0" w:rsidRDefault="005125FA" w:rsidP="005125FA">
      <w:pPr>
        <w:numPr>
          <w:ilvl w:val="0"/>
          <w:numId w:val="42"/>
        </w:numPr>
        <w:spacing w:after="180" w:line="360" w:lineRule="atLeast"/>
        <w:jc w:val="both"/>
        <w:rPr>
          <w:rFonts w:ascii="Montserrat" w:eastAsia="Times New Roman" w:hAnsi="Montserrat" w:cs="Arial"/>
        </w:rPr>
      </w:pPr>
      <w:r w:rsidRPr="00AE36F0">
        <w:rPr>
          <w:rFonts w:ascii="Montserrat" w:eastAsia="Times New Roman" w:hAnsi="Montserrat" w:cs="Arial"/>
          <w:b/>
          <w:bCs/>
        </w:rPr>
        <w:t>Tasas de Interés:</w:t>
      </w:r>
      <w:r w:rsidRPr="00AE36F0">
        <w:rPr>
          <w:rFonts w:ascii="Montserrat" w:eastAsia="Times New Roman" w:hAnsi="Montserrat" w:cs="Arial"/>
        </w:rPr>
        <w:t> Los analistas anticipan que la Fed continuará reduciendo los tipos de interés, situándolos en un rango de </w:t>
      </w:r>
      <w:r w:rsidRPr="00AE36F0">
        <w:rPr>
          <w:rFonts w:ascii="Montserrat" w:eastAsia="Times New Roman" w:hAnsi="Montserrat" w:cs="Arial"/>
          <w:b/>
          <w:bCs/>
        </w:rPr>
        <w:t>3.00% a 3.25%</w:t>
      </w:r>
      <w:r w:rsidRPr="00AE36F0">
        <w:rPr>
          <w:rFonts w:ascii="Montserrat" w:eastAsia="Times New Roman" w:hAnsi="Montserrat" w:cs="Arial"/>
        </w:rPr>
        <w:t> para finales de 2026. </w:t>
      </w:r>
    </w:p>
    <w:p w14:paraId="4079A18C" w14:textId="77777777" w:rsidR="005125FA" w:rsidRPr="00AE36F0" w:rsidRDefault="005125FA" w:rsidP="005125FA">
      <w:pPr>
        <w:spacing w:line="420" w:lineRule="atLeast"/>
        <w:jc w:val="both"/>
        <w:rPr>
          <w:rFonts w:ascii="Montserrat" w:eastAsia="Times New Roman" w:hAnsi="Montserrat" w:cs="Arial"/>
          <w:b/>
          <w:bCs/>
          <w:color w:val="0A0A0A"/>
        </w:rPr>
      </w:pPr>
      <w:r w:rsidRPr="00AE36F0">
        <w:rPr>
          <w:rFonts w:ascii="Montserrat" w:eastAsia="Times New Roman" w:hAnsi="Montserrat" w:cs="Arial"/>
          <w:b/>
          <w:bCs/>
          <w:color w:val="0A0A0A"/>
        </w:rPr>
        <w:t>Factores de Riesgo y Oportunidades</w:t>
      </w:r>
    </w:p>
    <w:p w14:paraId="11CBE49E" w14:textId="77777777" w:rsidR="002B48D3" w:rsidRPr="00AE36F0" w:rsidRDefault="002B48D3" w:rsidP="005125FA">
      <w:pPr>
        <w:spacing w:line="420" w:lineRule="atLeast"/>
        <w:jc w:val="both"/>
        <w:rPr>
          <w:rFonts w:ascii="Montserrat" w:eastAsia="Times New Roman" w:hAnsi="Montserrat" w:cs="Arial"/>
          <w:b/>
          <w:bCs/>
          <w:color w:val="0A0A0A"/>
        </w:rPr>
      </w:pPr>
    </w:p>
    <w:p w14:paraId="15373B99" w14:textId="77777777" w:rsidR="005125FA" w:rsidRPr="00AE36F0" w:rsidRDefault="005125FA" w:rsidP="005125FA">
      <w:pPr>
        <w:numPr>
          <w:ilvl w:val="0"/>
          <w:numId w:val="43"/>
        </w:numPr>
        <w:spacing w:after="180" w:line="360" w:lineRule="atLeast"/>
        <w:jc w:val="both"/>
        <w:rPr>
          <w:rFonts w:ascii="Montserrat" w:eastAsia="Times New Roman" w:hAnsi="Montserrat" w:cs="Arial"/>
        </w:rPr>
      </w:pPr>
      <w:r w:rsidRPr="00AE36F0">
        <w:rPr>
          <w:rFonts w:ascii="Montserrat" w:eastAsia="Times New Roman" w:hAnsi="Montserrat" w:cs="Arial"/>
          <w:b/>
          <w:bCs/>
        </w:rPr>
        <w:t>Políticas Comerciales:</w:t>
      </w:r>
      <w:r w:rsidRPr="00AE36F0">
        <w:rPr>
          <w:rFonts w:ascii="Montserrat" w:eastAsia="Times New Roman" w:hAnsi="Montserrat" w:cs="Arial"/>
        </w:rPr>
        <w:t> La implementación de aranceles y las tensiones comerciales globales, especialmente con China, siguen siendo un factor de incertidumbre que podría ralentizar el crecimiento hasta en medio punto porcentual.</w:t>
      </w:r>
    </w:p>
    <w:p w14:paraId="02F617DB" w14:textId="77777777" w:rsidR="005125FA" w:rsidRPr="00AE36F0" w:rsidRDefault="005125FA" w:rsidP="005125FA">
      <w:pPr>
        <w:numPr>
          <w:ilvl w:val="0"/>
          <w:numId w:val="43"/>
        </w:numPr>
        <w:spacing w:after="180" w:line="360" w:lineRule="atLeast"/>
        <w:jc w:val="both"/>
        <w:rPr>
          <w:rFonts w:ascii="Montserrat" w:eastAsia="Times New Roman" w:hAnsi="Montserrat" w:cs="Arial"/>
        </w:rPr>
      </w:pPr>
      <w:r w:rsidRPr="00AE36F0">
        <w:rPr>
          <w:rFonts w:ascii="Montserrat" w:eastAsia="Times New Roman" w:hAnsi="Montserrat" w:cs="Arial"/>
          <w:b/>
          <w:bCs/>
        </w:rPr>
        <w:t>Mercado Laboral:</w:t>
      </w:r>
      <w:r w:rsidRPr="00AE36F0">
        <w:rPr>
          <w:rFonts w:ascii="Montserrat" w:eastAsia="Times New Roman" w:hAnsi="Montserrat" w:cs="Arial"/>
        </w:rPr>
        <w:t> Se observa un enfriamiento gradual; la creación de empleo ha disminuido y la tasa de desempleo muestra ligeros incrementos, lo que presiona a la Fed a evitar un enfriamiento excesivo de la actividad económica.</w:t>
      </w:r>
    </w:p>
    <w:p w14:paraId="35FDD3AC" w14:textId="77777777" w:rsidR="005125FA" w:rsidRPr="00AE36F0" w:rsidRDefault="005125FA" w:rsidP="005125FA">
      <w:pPr>
        <w:numPr>
          <w:ilvl w:val="0"/>
          <w:numId w:val="43"/>
        </w:numPr>
        <w:spacing w:after="180" w:line="360" w:lineRule="atLeast"/>
        <w:jc w:val="both"/>
        <w:rPr>
          <w:rFonts w:ascii="Montserrat" w:eastAsia="Times New Roman" w:hAnsi="Montserrat" w:cs="Arial"/>
        </w:rPr>
      </w:pPr>
      <w:r w:rsidRPr="00AE36F0">
        <w:rPr>
          <w:rFonts w:ascii="Montserrat" w:eastAsia="Times New Roman" w:hAnsi="Montserrat" w:cs="Arial"/>
          <w:b/>
          <w:bCs/>
        </w:rPr>
        <w:t>Inversión Tecnológica:</w:t>
      </w:r>
      <w:r w:rsidRPr="00AE36F0">
        <w:rPr>
          <w:rFonts w:ascii="Montserrat" w:eastAsia="Times New Roman" w:hAnsi="Montserrat" w:cs="Arial"/>
        </w:rPr>
        <w:t> El fuerte gasto de capital en infraestructura de </w:t>
      </w:r>
      <w:r w:rsidRPr="00AE36F0">
        <w:rPr>
          <w:rFonts w:ascii="Montserrat" w:eastAsia="Times New Roman" w:hAnsi="Montserrat" w:cs="Arial"/>
          <w:b/>
          <w:bCs/>
        </w:rPr>
        <w:t>Inteligencia Artificial</w:t>
      </w:r>
      <w:r w:rsidRPr="00AE36F0">
        <w:rPr>
          <w:rFonts w:ascii="Montserrat" w:eastAsia="Times New Roman" w:hAnsi="Montserrat" w:cs="Arial"/>
        </w:rPr>
        <w:t> actúa como un motor de crecimiento que contrarresta las fragilidades en otros sectores. </w:t>
      </w:r>
    </w:p>
    <w:p w14:paraId="65AE4048" w14:textId="77777777" w:rsidR="005125FA" w:rsidRPr="00AE36F0" w:rsidRDefault="005125FA" w:rsidP="005125FA">
      <w:pPr>
        <w:spacing w:line="360" w:lineRule="atLeast"/>
        <w:jc w:val="both"/>
        <w:rPr>
          <w:rFonts w:ascii="Montserrat" w:eastAsia="Times New Roman" w:hAnsi="Montserrat" w:cs="Arial"/>
        </w:rPr>
      </w:pPr>
      <w:r w:rsidRPr="00AE36F0">
        <w:rPr>
          <w:rFonts w:ascii="Montserrat" w:eastAsia="Times New Roman" w:hAnsi="Montserrat" w:cs="Arial"/>
        </w:rPr>
        <w:lastRenderedPageBreak/>
        <w:t>En resumen, la perspectiva para 2026 es de un </w:t>
      </w:r>
      <w:r w:rsidRPr="00AE36F0">
        <w:rPr>
          <w:rFonts w:ascii="Montserrat" w:eastAsia="Times New Roman" w:hAnsi="Montserrat" w:cs="Arial"/>
          <w:b/>
          <w:bCs/>
        </w:rPr>
        <w:t>"aterrizaje suave"</w:t>
      </w:r>
      <w:r w:rsidRPr="00AE36F0">
        <w:rPr>
          <w:rFonts w:ascii="Montserrat" w:eastAsia="Times New Roman" w:hAnsi="Montserrat" w:cs="Arial"/>
        </w:rPr>
        <w:t>, donde la economía evita la recesión (probabilidad estimada en un 20%) y logra estabilizarse en un entorno de crecimiento persistente, pero con fragilidades estructurales. </w:t>
      </w:r>
    </w:p>
    <w:p w14:paraId="68E4EFFB" w14:textId="77777777" w:rsidR="005125FA" w:rsidRPr="00AE36F0" w:rsidRDefault="005125FA" w:rsidP="005125FA">
      <w:pPr>
        <w:jc w:val="both"/>
        <w:rPr>
          <w:rFonts w:ascii="Montserrat" w:hAnsi="Montserrat"/>
        </w:rPr>
      </w:pPr>
    </w:p>
    <w:p w14:paraId="31D76A9E" w14:textId="77777777" w:rsidR="005125FA" w:rsidRPr="00AE36F0" w:rsidRDefault="005125FA" w:rsidP="005125FA">
      <w:pPr>
        <w:jc w:val="both"/>
        <w:rPr>
          <w:rFonts w:ascii="Montserrat" w:hAnsi="Montserrat"/>
        </w:rPr>
      </w:pPr>
      <w:r w:rsidRPr="00AE36F0">
        <w:rPr>
          <w:rFonts w:ascii="Montserrat" w:hAnsi="Montserrat"/>
        </w:rPr>
        <w:t>Como esperaban los analistas, la inflación en Estados Unidos a 12 meses en diciembre se mantuvo estable en 2.7%, mismo guarismo que en noviembre, luego de un año en el que los aranceles de Trump amenazaron la estabilidad de precios.</w:t>
      </w:r>
    </w:p>
    <w:p w14:paraId="7B991683" w14:textId="77777777" w:rsidR="005125FA" w:rsidRPr="00AE36F0" w:rsidRDefault="005125FA" w:rsidP="005125FA">
      <w:pPr>
        <w:jc w:val="both"/>
        <w:rPr>
          <w:rFonts w:ascii="Montserrat" w:hAnsi="Montserrat"/>
        </w:rPr>
      </w:pPr>
    </w:p>
    <w:p w14:paraId="30220199" w14:textId="6FED3F0F" w:rsidR="005125FA" w:rsidRPr="00AE36F0" w:rsidRDefault="005125FA" w:rsidP="005125FA">
      <w:pPr>
        <w:jc w:val="both"/>
        <w:rPr>
          <w:rFonts w:ascii="Montserrat" w:hAnsi="Montserrat"/>
        </w:rPr>
      </w:pPr>
      <w:r w:rsidRPr="00AE36F0">
        <w:rPr>
          <w:rFonts w:ascii="Montserrat" w:hAnsi="Montserrat"/>
        </w:rPr>
        <w:t>En la medición mes a mes, en tanto, el IPC aumentó un 0.3 por ciento.</w:t>
      </w:r>
    </w:p>
    <w:p w14:paraId="44B2EAA7" w14:textId="77777777" w:rsidR="005125FA" w:rsidRPr="00AE36F0" w:rsidRDefault="005125FA" w:rsidP="005125FA">
      <w:pPr>
        <w:jc w:val="both"/>
        <w:rPr>
          <w:rFonts w:ascii="Montserrat" w:hAnsi="Montserrat"/>
        </w:rPr>
      </w:pPr>
    </w:p>
    <w:p w14:paraId="23A40806" w14:textId="3B01875E" w:rsidR="005125FA" w:rsidRPr="00AE36F0" w:rsidRDefault="005125FA" w:rsidP="005125FA">
      <w:pPr>
        <w:jc w:val="both"/>
        <w:rPr>
          <w:rFonts w:ascii="Montserrat" w:hAnsi="Montserrat"/>
        </w:rPr>
      </w:pPr>
      <w:r w:rsidRPr="00AE36F0">
        <w:rPr>
          <w:rFonts w:ascii="Montserrat" w:hAnsi="Montserrat"/>
        </w:rPr>
        <w:t>Aunque los precios no se dispararon en los últimos meses de 2025, la inflación fue aumentando a lo largo del año a medida que Trump imponía aranceles. Sin embargo, en los últimos meses, el gobierno ha ampliado una lista de exenciones que cubren productos clave, entre ellos agrícolas, ya que las preocupaciones por el costo de vida aumentan en los hogares.</w:t>
      </w:r>
    </w:p>
    <w:p w14:paraId="35753A5B" w14:textId="77777777" w:rsidR="005125FA" w:rsidRPr="00AE36F0" w:rsidRDefault="005125FA" w:rsidP="005125FA">
      <w:pPr>
        <w:jc w:val="both"/>
        <w:rPr>
          <w:rFonts w:ascii="Montserrat" w:hAnsi="Montserrat"/>
        </w:rPr>
      </w:pPr>
    </w:p>
    <w:p w14:paraId="66D4A5EB" w14:textId="1EE0E9C7" w:rsidR="005125FA" w:rsidRPr="00AE36F0" w:rsidRDefault="005125FA" w:rsidP="005125FA">
      <w:pPr>
        <w:jc w:val="both"/>
        <w:rPr>
          <w:rFonts w:ascii="Montserrat" w:hAnsi="Montserrat"/>
        </w:rPr>
      </w:pPr>
      <w:r w:rsidRPr="00AE36F0">
        <w:rPr>
          <w:rFonts w:ascii="Montserrat" w:hAnsi="Montserrat"/>
        </w:rPr>
        <w:t>Así, el 2.7% a diciembre de 2025 se compara con el dato de 2.9% a diciembre de 2024. Pero los alimentos aumentaron por encima del promedio, un 3.1% en 12 meses.</w:t>
      </w:r>
    </w:p>
    <w:p w14:paraId="2A979BCF" w14:textId="77777777" w:rsidR="005125FA" w:rsidRPr="00AE36F0" w:rsidRDefault="005125FA" w:rsidP="005125FA">
      <w:pPr>
        <w:jc w:val="both"/>
        <w:rPr>
          <w:rFonts w:ascii="Montserrat" w:hAnsi="Montserrat"/>
        </w:rPr>
      </w:pPr>
    </w:p>
    <w:p w14:paraId="06EE1D1D" w14:textId="6D4C7E56" w:rsidR="005125FA" w:rsidRPr="00AE36F0" w:rsidRDefault="005125FA" w:rsidP="005125FA">
      <w:pPr>
        <w:jc w:val="both"/>
        <w:rPr>
          <w:rFonts w:ascii="Montserrat" w:hAnsi="Montserrat"/>
        </w:rPr>
      </w:pPr>
      <w:r w:rsidRPr="00AE36F0">
        <w:rPr>
          <w:rFonts w:ascii="Montserrat" w:hAnsi="Montserrat"/>
        </w:rPr>
        <w:t>El gobierno destaca una caída de precios de la gasolina, de 3.4 por ciento.</w:t>
      </w:r>
    </w:p>
    <w:p w14:paraId="7F035926" w14:textId="77777777" w:rsidR="005125FA" w:rsidRPr="00AE36F0" w:rsidRDefault="005125FA" w:rsidP="005125FA">
      <w:pPr>
        <w:jc w:val="both"/>
        <w:rPr>
          <w:rFonts w:ascii="Montserrat" w:hAnsi="Montserrat"/>
          <w:b/>
          <w:bCs/>
        </w:rPr>
      </w:pPr>
    </w:p>
    <w:p w14:paraId="77DF94DC" w14:textId="560E3180" w:rsidR="005125FA" w:rsidRPr="00AE36F0" w:rsidRDefault="005125FA" w:rsidP="005125FA">
      <w:pPr>
        <w:jc w:val="both"/>
        <w:rPr>
          <w:rFonts w:ascii="Montserrat" w:hAnsi="Montserrat"/>
          <w:b/>
          <w:bCs/>
        </w:rPr>
      </w:pPr>
      <w:r w:rsidRPr="00AE36F0">
        <w:rPr>
          <w:rFonts w:ascii="Montserrat" w:hAnsi="Montserrat"/>
          <w:b/>
          <w:bCs/>
        </w:rPr>
        <w:t>MÉXICO.</w:t>
      </w:r>
    </w:p>
    <w:p w14:paraId="4F85B5E3" w14:textId="77777777" w:rsidR="005125FA" w:rsidRPr="00AE36F0" w:rsidRDefault="005125FA" w:rsidP="005125FA">
      <w:pPr>
        <w:jc w:val="both"/>
        <w:rPr>
          <w:rFonts w:ascii="Montserrat" w:hAnsi="Montserrat"/>
        </w:rPr>
      </w:pPr>
    </w:p>
    <w:p w14:paraId="575EA605" w14:textId="3E7FFFD0" w:rsidR="005125FA" w:rsidRPr="00AE36F0" w:rsidRDefault="005125FA" w:rsidP="005125FA">
      <w:pPr>
        <w:jc w:val="both"/>
        <w:rPr>
          <w:rFonts w:ascii="Montserrat" w:hAnsi="Montserrat"/>
        </w:rPr>
      </w:pPr>
      <w:r w:rsidRPr="00AE36F0">
        <w:rPr>
          <w:rFonts w:ascii="Montserrat" w:hAnsi="Montserrat"/>
        </w:rPr>
        <w:t xml:space="preserve">A inicios de 2026, la economía de México se encuentra en una fase de crecimiento moderado y estabilización financiera tras un 2025 de bajo dinamismo. El país se posiciona como la 13.ª economía mundial, con un PIB aproximado de 1.86 billones de dólares. </w:t>
      </w:r>
    </w:p>
    <w:p w14:paraId="24754511" w14:textId="77777777" w:rsidR="005125FA" w:rsidRPr="00AE36F0" w:rsidRDefault="005125FA" w:rsidP="005125FA">
      <w:pPr>
        <w:jc w:val="both"/>
        <w:rPr>
          <w:rFonts w:ascii="Montserrat" w:hAnsi="Montserrat"/>
        </w:rPr>
      </w:pPr>
    </w:p>
    <w:p w14:paraId="6513EF72" w14:textId="579FB1CF" w:rsidR="005125FA" w:rsidRPr="00AE36F0" w:rsidRDefault="005125FA" w:rsidP="005125FA">
      <w:pPr>
        <w:jc w:val="both"/>
        <w:rPr>
          <w:rFonts w:ascii="Montserrat" w:hAnsi="Montserrat"/>
        </w:rPr>
      </w:pPr>
      <w:r w:rsidRPr="00AE36F0">
        <w:rPr>
          <w:rFonts w:ascii="Montserrat" w:hAnsi="Montserrat"/>
        </w:rPr>
        <w:t>Indicadores Proyectados para 2026</w:t>
      </w:r>
    </w:p>
    <w:p w14:paraId="64ABAA34" w14:textId="77777777" w:rsidR="005125FA" w:rsidRPr="00AE36F0" w:rsidRDefault="005125FA" w:rsidP="005125FA">
      <w:pPr>
        <w:jc w:val="both"/>
        <w:rPr>
          <w:rFonts w:ascii="Montserrat" w:hAnsi="Montserrat"/>
        </w:rPr>
      </w:pPr>
    </w:p>
    <w:p w14:paraId="48D5DC41" w14:textId="41E7621C" w:rsidR="005125FA" w:rsidRPr="00AE36F0" w:rsidRDefault="005125FA" w:rsidP="005125FA">
      <w:pPr>
        <w:jc w:val="both"/>
        <w:rPr>
          <w:rFonts w:ascii="Montserrat" w:hAnsi="Montserrat"/>
        </w:rPr>
      </w:pPr>
      <w:r w:rsidRPr="00AE36F0">
        <w:rPr>
          <w:rFonts w:ascii="Montserrat" w:hAnsi="Montserrat"/>
        </w:rPr>
        <w:t xml:space="preserve">Crecimiento del PIB: Se estima una expansión de entre 1.1% y 1.4%. Aunque instituciones como el Banco de México (Banxico) sitúan su pronóstico </w:t>
      </w:r>
      <w:r w:rsidRPr="00AE36F0">
        <w:rPr>
          <w:rFonts w:ascii="Montserrat" w:hAnsi="Montserrat"/>
        </w:rPr>
        <w:lastRenderedPageBreak/>
        <w:t>puntual en 1.8%, el consenso de analistas privados es más cauteloso debido a la baja productividad y la incertidumbre externa.</w:t>
      </w:r>
    </w:p>
    <w:p w14:paraId="24CE461C" w14:textId="77777777" w:rsidR="005125FA" w:rsidRPr="00AE36F0" w:rsidRDefault="005125FA" w:rsidP="005125FA">
      <w:pPr>
        <w:jc w:val="both"/>
        <w:rPr>
          <w:rFonts w:ascii="Montserrat" w:hAnsi="Montserrat"/>
        </w:rPr>
      </w:pPr>
    </w:p>
    <w:p w14:paraId="4F6F7C69" w14:textId="28AD8B85" w:rsidR="005125FA" w:rsidRPr="00AE36F0" w:rsidRDefault="005125FA" w:rsidP="005125FA">
      <w:pPr>
        <w:jc w:val="both"/>
        <w:rPr>
          <w:rFonts w:ascii="Montserrat" w:hAnsi="Montserrat"/>
        </w:rPr>
      </w:pPr>
      <w:r w:rsidRPr="00AE36F0">
        <w:rPr>
          <w:rFonts w:ascii="Montserrat" w:hAnsi="Montserrat"/>
        </w:rPr>
        <w:t>Inflación: Se prevé que la inflación general se mantenga cerca del 4.0% anual, aún por encima del objetivo puntual del 3% de Banxico.</w:t>
      </w:r>
    </w:p>
    <w:p w14:paraId="5D5128CF" w14:textId="77777777" w:rsidR="005125FA" w:rsidRPr="00AE36F0" w:rsidRDefault="005125FA" w:rsidP="005125FA">
      <w:pPr>
        <w:jc w:val="both"/>
        <w:rPr>
          <w:rFonts w:ascii="Montserrat" w:hAnsi="Montserrat"/>
        </w:rPr>
      </w:pPr>
    </w:p>
    <w:p w14:paraId="030496F9" w14:textId="18645D04" w:rsidR="005125FA" w:rsidRPr="00AE36F0" w:rsidRDefault="005125FA" w:rsidP="005125FA">
      <w:pPr>
        <w:jc w:val="both"/>
        <w:rPr>
          <w:rFonts w:ascii="Montserrat" w:hAnsi="Montserrat"/>
        </w:rPr>
      </w:pPr>
      <w:r w:rsidRPr="00AE36F0">
        <w:rPr>
          <w:rFonts w:ascii="Montserrat" w:hAnsi="Montserrat"/>
        </w:rPr>
        <w:t xml:space="preserve">Al cierre de 2025, la economía de México registró un desempeño caracterizado por una desaceleración en el crecimiento y una convergencia gradual de la inflación hacia los rangos objetivo. </w:t>
      </w:r>
    </w:p>
    <w:p w14:paraId="0791B731" w14:textId="77777777" w:rsidR="005125FA" w:rsidRPr="00AE36F0" w:rsidRDefault="005125FA" w:rsidP="005125FA">
      <w:pPr>
        <w:jc w:val="both"/>
        <w:rPr>
          <w:rFonts w:ascii="Montserrat" w:hAnsi="Montserrat"/>
        </w:rPr>
      </w:pPr>
    </w:p>
    <w:p w14:paraId="6220853A" w14:textId="0D977C8C" w:rsidR="005125FA" w:rsidRPr="00AE36F0" w:rsidRDefault="005125FA" w:rsidP="005125FA">
      <w:pPr>
        <w:jc w:val="both"/>
        <w:rPr>
          <w:rFonts w:ascii="Montserrat" w:hAnsi="Montserrat"/>
        </w:rPr>
      </w:pPr>
      <w:r w:rsidRPr="00AE36F0">
        <w:rPr>
          <w:rFonts w:ascii="Montserrat" w:hAnsi="Montserrat"/>
        </w:rPr>
        <w:t>Indicadores Macroeconómicos 2025</w:t>
      </w:r>
    </w:p>
    <w:p w14:paraId="7A6DF8FC" w14:textId="77777777" w:rsidR="005125FA" w:rsidRPr="00AE36F0" w:rsidRDefault="005125FA" w:rsidP="005125FA">
      <w:pPr>
        <w:jc w:val="both"/>
        <w:rPr>
          <w:rFonts w:ascii="Montserrat" w:hAnsi="Montserrat"/>
        </w:rPr>
      </w:pPr>
    </w:p>
    <w:p w14:paraId="14A3F9D0" w14:textId="7C2D8C58" w:rsidR="005125FA" w:rsidRPr="00AE36F0" w:rsidRDefault="005125FA" w:rsidP="005125FA">
      <w:pPr>
        <w:jc w:val="both"/>
        <w:rPr>
          <w:rFonts w:ascii="Montserrat" w:hAnsi="Montserrat"/>
        </w:rPr>
      </w:pPr>
      <w:r w:rsidRPr="00AE36F0">
        <w:rPr>
          <w:rFonts w:ascii="Montserrat" w:hAnsi="Montserrat"/>
        </w:rPr>
        <w:t>Crecimiento del PIB: La economía nacional apenas creció un 0.3% - 0.4% en el total anual. Tras un inicio de año con ligero dinamismo (2% anual en el segundo trimestre), la actividad se contrajo un -0.2% interanual en el tercer trimestre, marcando su primer retroceso desde 2021.</w:t>
      </w:r>
    </w:p>
    <w:p w14:paraId="5FA5935B" w14:textId="77777777" w:rsidR="005125FA" w:rsidRPr="00AE36F0" w:rsidRDefault="005125FA" w:rsidP="005125FA">
      <w:pPr>
        <w:jc w:val="both"/>
        <w:rPr>
          <w:rFonts w:ascii="Montserrat" w:hAnsi="Montserrat"/>
        </w:rPr>
      </w:pPr>
    </w:p>
    <w:p w14:paraId="71B34EB7" w14:textId="67F5E6D6" w:rsidR="005125FA" w:rsidRPr="00AE36F0" w:rsidRDefault="005125FA" w:rsidP="005125FA">
      <w:pPr>
        <w:jc w:val="both"/>
        <w:rPr>
          <w:rFonts w:ascii="Montserrat" w:hAnsi="Montserrat"/>
        </w:rPr>
      </w:pPr>
      <w:r w:rsidRPr="00AE36F0">
        <w:rPr>
          <w:rFonts w:ascii="Montserrat" w:hAnsi="Montserrat"/>
        </w:rPr>
        <w:t>Inflación: El Índice Nacional de Precios al Consumidor (INPC) cerró diciembre de 2025 en 3.69% anual. Esta cifra representa un descenso respecto al 4.21% de finales de 2024 y se ubica dentro del rango de variabilidad del Banco de México.</w:t>
      </w:r>
    </w:p>
    <w:p w14:paraId="674D4E40" w14:textId="77777777" w:rsidR="005125FA" w:rsidRPr="00AE36F0" w:rsidRDefault="005125FA" w:rsidP="005125FA">
      <w:pPr>
        <w:jc w:val="both"/>
        <w:rPr>
          <w:rFonts w:ascii="Montserrat" w:hAnsi="Montserrat"/>
        </w:rPr>
      </w:pPr>
    </w:p>
    <w:p w14:paraId="06DFBE7E" w14:textId="6E12EE4F" w:rsidR="005125FA" w:rsidRPr="00AE36F0" w:rsidRDefault="005125FA" w:rsidP="005125FA">
      <w:pPr>
        <w:jc w:val="both"/>
        <w:rPr>
          <w:rFonts w:ascii="Montserrat" w:hAnsi="Montserrat"/>
        </w:rPr>
      </w:pPr>
      <w:r w:rsidRPr="00AE36F0">
        <w:rPr>
          <w:rFonts w:ascii="Montserrat" w:hAnsi="Montserrat"/>
        </w:rPr>
        <w:t>Tasas de Interés: Banxico mantuvo un ciclo de recortes durante el año, llevando la tasa de referencia desde niveles altos hasta aproximadamente un 7.75% en agosto y cerrando el año con expectativas de ajuste adicional hacia el 7.00%.</w:t>
      </w:r>
    </w:p>
    <w:p w14:paraId="279BCB26" w14:textId="77777777" w:rsidR="005125FA" w:rsidRPr="00AE36F0" w:rsidRDefault="005125FA" w:rsidP="005125FA">
      <w:pPr>
        <w:jc w:val="both"/>
        <w:rPr>
          <w:rFonts w:ascii="Montserrat" w:hAnsi="Montserrat"/>
        </w:rPr>
      </w:pPr>
    </w:p>
    <w:p w14:paraId="509B8C90" w14:textId="1BBFC957" w:rsidR="005125FA" w:rsidRPr="00AE36F0" w:rsidRDefault="005125FA" w:rsidP="005125FA">
      <w:pPr>
        <w:jc w:val="both"/>
        <w:rPr>
          <w:rFonts w:ascii="Montserrat" w:hAnsi="Montserrat"/>
        </w:rPr>
      </w:pPr>
      <w:r w:rsidRPr="00AE36F0">
        <w:rPr>
          <w:rFonts w:ascii="Montserrat" w:hAnsi="Montserrat"/>
        </w:rPr>
        <w:t xml:space="preserve">Desempleo: La tasa de desocupación se mantuvo en niveles históricamente bajos, aunque mostró un ligero incremento al finalizar el año, situándose en 2.69% en noviembre. </w:t>
      </w:r>
    </w:p>
    <w:p w14:paraId="435C7D22" w14:textId="77777777" w:rsidR="005125FA" w:rsidRPr="00AE36F0" w:rsidRDefault="005125FA" w:rsidP="005125FA">
      <w:pPr>
        <w:jc w:val="both"/>
        <w:rPr>
          <w:rFonts w:ascii="Montserrat" w:hAnsi="Montserrat"/>
        </w:rPr>
      </w:pPr>
    </w:p>
    <w:p w14:paraId="7A6C5144" w14:textId="7FC79232" w:rsidR="005125FA" w:rsidRPr="00AE36F0" w:rsidRDefault="005125FA" w:rsidP="005125FA">
      <w:pPr>
        <w:jc w:val="both"/>
        <w:rPr>
          <w:rFonts w:ascii="Montserrat" w:hAnsi="Montserrat"/>
        </w:rPr>
      </w:pPr>
      <w:r w:rsidRPr="00AE36F0">
        <w:rPr>
          <w:rFonts w:ascii="Montserrat" w:hAnsi="Montserrat"/>
        </w:rPr>
        <w:t>Contexto de Finanzas Públicas y Global</w:t>
      </w:r>
    </w:p>
    <w:p w14:paraId="5E92B46F" w14:textId="77777777" w:rsidR="00E40A81" w:rsidRDefault="00E40A81" w:rsidP="005125FA">
      <w:pPr>
        <w:jc w:val="both"/>
        <w:rPr>
          <w:rFonts w:ascii="Montserrat" w:hAnsi="Montserrat"/>
        </w:rPr>
      </w:pPr>
    </w:p>
    <w:p w14:paraId="28769F8E" w14:textId="1280498F" w:rsidR="005125FA" w:rsidRPr="00AE36F0" w:rsidRDefault="005125FA" w:rsidP="005125FA">
      <w:pPr>
        <w:jc w:val="both"/>
        <w:rPr>
          <w:rFonts w:ascii="Montserrat" w:hAnsi="Montserrat"/>
        </w:rPr>
      </w:pPr>
      <w:r w:rsidRPr="00AE36F0">
        <w:rPr>
          <w:rFonts w:ascii="Montserrat" w:hAnsi="Montserrat"/>
        </w:rPr>
        <w:t>Posición Mundial: México terminó 2025 como la 13.ª economía más grande del mundo, con un PIB nominal de 1.86 billones de dólares.</w:t>
      </w:r>
    </w:p>
    <w:p w14:paraId="08BA007F" w14:textId="77777777" w:rsidR="005125FA" w:rsidRPr="00AE36F0" w:rsidRDefault="005125FA" w:rsidP="005125FA">
      <w:pPr>
        <w:jc w:val="both"/>
        <w:rPr>
          <w:rFonts w:ascii="Montserrat" w:hAnsi="Montserrat"/>
        </w:rPr>
      </w:pPr>
    </w:p>
    <w:p w14:paraId="69D3DC2E" w14:textId="4E39568B" w:rsidR="005125FA" w:rsidRPr="00AE36F0" w:rsidRDefault="005125FA" w:rsidP="005125FA">
      <w:pPr>
        <w:jc w:val="both"/>
        <w:rPr>
          <w:rFonts w:ascii="Montserrat" w:hAnsi="Montserrat"/>
        </w:rPr>
      </w:pPr>
      <w:r w:rsidRPr="00AE36F0">
        <w:rPr>
          <w:rFonts w:ascii="Montserrat" w:hAnsi="Montserrat"/>
        </w:rPr>
        <w:lastRenderedPageBreak/>
        <w:t>Deuda Pública: Al cierre del tercer trimestre, la deuda neta del Gobierno Federal ascendió a 16.43 billones de pesos.</w:t>
      </w:r>
    </w:p>
    <w:p w14:paraId="5571DEFC" w14:textId="77777777" w:rsidR="005125FA" w:rsidRPr="00AE36F0" w:rsidRDefault="005125FA" w:rsidP="005125FA">
      <w:pPr>
        <w:jc w:val="both"/>
        <w:rPr>
          <w:rFonts w:ascii="Montserrat" w:hAnsi="Montserrat"/>
        </w:rPr>
      </w:pPr>
    </w:p>
    <w:p w14:paraId="7FB2C97E" w14:textId="62B1AE20" w:rsidR="005125FA" w:rsidRPr="00AE36F0" w:rsidRDefault="005125FA" w:rsidP="005125FA">
      <w:pPr>
        <w:jc w:val="both"/>
        <w:rPr>
          <w:rFonts w:ascii="Montserrat" w:hAnsi="Montserrat"/>
        </w:rPr>
      </w:pPr>
      <w:r w:rsidRPr="00AE36F0">
        <w:rPr>
          <w:rFonts w:ascii="Montserrat" w:hAnsi="Montserrat"/>
        </w:rPr>
        <w:t xml:space="preserve">Sector Construcción: Fue uno de los sectores más afectados, con una caída anual real del 15.4% en su valor de producción hacia finales de año. </w:t>
      </w:r>
    </w:p>
    <w:p w14:paraId="4AF7292B" w14:textId="77777777" w:rsidR="005125FA" w:rsidRPr="00AE36F0" w:rsidRDefault="005125FA" w:rsidP="005125FA">
      <w:pPr>
        <w:jc w:val="both"/>
        <w:rPr>
          <w:rFonts w:ascii="Montserrat" w:hAnsi="Montserrat"/>
        </w:rPr>
      </w:pPr>
    </w:p>
    <w:p w14:paraId="08E8DF7D" w14:textId="0C844FD4" w:rsidR="005125FA" w:rsidRPr="00AE36F0" w:rsidRDefault="005125FA" w:rsidP="005125FA">
      <w:pPr>
        <w:jc w:val="both"/>
        <w:rPr>
          <w:rFonts w:ascii="Montserrat" w:hAnsi="Montserrat"/>
        </w:rPr>
      </w:pPr>
      <w:r w:rsidRPr="00AE36F0">
        <w:rPr>
          <w:rFonts w:ascii="Montserrat" w:hAnsi="Montserrat"/>
        </w:rPr>
        <w:t>Este bajo dinamismo en 2025 establece una base de comparación favorable para el repunte ligero que se proyecta en la perspectiva económica de 2026.</w:t>
      </w:r>
    </w:p>
    <w:p w14:paraId="3B7CE632" w14:textId="77777777" w:rsidR="005125FA" w:rsidRPr="00AE36F0" w:rsidRDefault="005125FA" w:rsidP="005125FA">
      <w:pPr>
        <w:jc w:val="both"/>
        <w:rPr>
          <w:rFonts w:ascii="Montserrat" w:hAnsi="Montserrat"/>
        </w:rPr>
      </w:pPr>
    </w:p>
    <w:p w14:paraId="68D2637F" w14:textId="06F33675" w:rsidR="005125FA" w:rsidRPr="00AE36F0" w:rsidRDefault="005125FA" w:rsidP="005125FA">
      <w:pPr>
        <w:jc w:val="both"/>
        <w:rPr>
          <w:rFonts w:ascii="Montserrat" w:hAnsi="Montserrat"/>
        </w:rPr>
      </w:pPr>
      <w:r w:rsidRPr="00AE36F0">
        <w:rPr>
          <w:rFonts w:ascii="Montserrat" w:hAnsi="Montserrat"/>
        </w:rPr>
        <w:t>Tasas de Interés: El ciclo de relajación monetaria continuará gradualmente. Se espera que la tasa de referencia cierre 2026 en torno al 6.25% - 6.50%, partiendo de niveles del 7.0% a finales de 2025.</w:t>
      </w:r>
    </w:p>
    <w:p w14:paraId="77E46E20" w14:textId="77777777" w:rsidR="005125FA" w:rsidRPr="00AE36F0" w:rsidRDefault="005125FA" w:rsidP="005125FA">
      <w:pPr>
        <w:jc w:val="both"/>
        <w:rPr>
          <w:rFonts w:ascii="Montserrat" w:hAnsi="Montserrat"/>
        </w:rPr>
      </w:pPr>
    </w:p>
    <w:p w14:paraId="6A3FFBF7" w14:textId="4197CEC7" w:rsidR="005125FA" w:rsidRPr="00AE36F0" w:rsidRDefault="005125FA" w:rsidP="005125FA">
      <w:pPr>
        <w:jc w:val="both"/>
        <w:rPr>
          <w:rFonts w:ascii="Montserrat" w:hAnsi="Montserrat"/>
        </w:rPr>
      </w:pPr>
      <w:r w:rsidRPr="00AE36F0">
        <w:rPr>
          <w:rFonts w:ascii="Montserrat" w:hAnsi="Montserrat"/>
        </w:rPr>
        <w:t xml:space="preserve">Tipo de Cambio: Analistas proyectan que el peso mexicano se estabilizará cerca de las 19.00 unidades por dólar hacia el final del año. </w:t>
      </w:r>
    </w:p>
    <w:p w14:paraId="6A3F62D6" w14:textId="77777777" w:rsidR="005125FA" w:rsidRPr="00AE36F0" w:rsidRDefault="005125FA" w:rsidP="005125FA">
      <w:pPr>
        <w:jc w:val="both"/>
        <w:rPr>
          <w:rFonts w:ascii="Montserrat" w:hAnsi="Montserrat"/>
        </w:rPr>
      </w:pPr>
    </w:p>
    <w:p w14:paraId="33B22419" w14:textId="1161A68E" w:rsidR="005125FA" w:rsidRPr="00AE36F0" w:rsidRDefault="005125FA" w:rsidP="005125FA">
      <w:pPr>
        <w:jc w:val="both"/>
        <w:rPr>
          <w:rFonts w:ascii="Montserrat" w:hAnsi="Montserrat"/>
        </w:rPr>
      </w:pPr>
      <w:r w:rsidRPr="00AE36F0">
        <w:rPr>
          <w:rFonts w:ascii="Montserrat" w:hAnsi="Montserrat"/>
        </w:rPr>
        <w:t>Motores y Desafíos</w:t>
      </w:r>
    </w:p>
    <w:p w14:paraId="7C0404D2" w14:textId="77777777" w:rsidR="005125FA" w:rsidRPr="00AE36F0" w:rsidRDefault="005125FA" w:rsidP="005125FA">
      <w:pPr>
        <w:jc w:val="both"/>
        <w:rPr>
          <w:rFonts w:ascii="Montserrat" w:hAnsi="Montserrat"/>
        </w:rPr>
      </w:pPr>
    </w:p>
    <w:p w14:paraId="541FA61A" w14:textId="1CBF9000" w:rsidR="005125FA" w:rsidRPr="00AE36F0" w:rsidRDefault="005125FA" w:rsidP="005125FA">
      <w:pPr>
        <w:jc w:val="both"/>
        <w:rPr>
          <w:rFonts w:ascii="Montserrat" w:hAnsi="Montserrat"/>
        </w:rPr>
      </w:pPr>
      <w:r w:rsidRPr="00AE36F0">
        <w:rPr>
          <w:rFonts w:ascii="Montserrat" w:hAnsi="Montserrat"/>
        </w:rPr>
        <w:t>Nearshoring e Inversión: México sigue siendo un destino clave para la relocalización de cadenas de suministro, especialmente en sectores tecnológicos y de manufactura avanzada vinculados a la Inteligencia Artificial. Sin embargo, la ejecución de estos proyectos enfrenta retos en infraestructura y certidumbre jurídica.</w:t>
      </w:r>
    </w:p>
    <w:p w14:paraId="6685CBB1" w14:textId="77777777" w:rsidR="005125FA" w:rsidRPr="00AE36F0" w:rsidRDefault="005125FA" w:rsidP="005125FA">
      <w:pPr>
        <w:jc w:val="both"/>
        <w:rPr>
          <w:rFonts w:ascii="Montserrat" w:hAnsi="Montserrat"/>
        </w:rPr>
      </w:pPr>
    </w:p>
    <w:p w14:paraId="5D34172C" w14:textId="4139EEAA" w:rsidR="005125FA" w:rsidRPr="00AE36F0" w:rsidRDefault="005125FA" w:rsidP="005125FA">
      <w:pPr>
        <w:jc w:val="both"/>
        <w:rPr>
          <w:rFonts w:ascii="Montserrat" w:hAnsi="Montserrat"/>
        </w:rPr>
      </w:pPr>
      <w:r w:rsidRPr="00AE36F0">
        <w:rPr>
          <w:rFonts w:ascii="Montserrat" w:hAnsi="Montserrat"/>
        </w:rPr>
        <w:t>Relación con EE. UU.: La revisión del T-MEC y la posible implementación de aranceles por parte de Estados Unidos generan una incertidumbre que frena mayores niveles de inversión privada.</w:t>
      </w:r>
    </w:p>
    <w:p w14:paraId="10905FF2" w14:textId="77777777" w:rsidR="005125FA" w:rsidRPr="00AE36F0" w:rsidRDefault="005125FA" w:rsidP="005125FA">
      <w:pPr>
        <w:jc w:val="both"/>
        <w:rPr>
          <w:rFonts w:ascii="Montserrat" w:hAnsi="Montserrat"/>
        </w:rPr>
      </w:pPr>
    </w:p>
    <w:p w14:paraId="3269EA1F" w14:textId="35E440A2" w:rsidR="005125FA" w:rsidRPr="00AE36F0" w:rsidRDefault="005125FA" w:rsidP="005125FA">
      <w:pPr>
        <w:jc w:val="both"/>
        <w:rPr>
          <w:rFonts w:ascii="Montserrat" w:hAnsi="Montserrat"/>
        </w:rPr>
      </w:pPr>
      <w:r w:rsidRPr="00AE36F0">
        <w:rPr>
          <w:rFonts w:ascii="Montserrat" w:hAnsi="Montserrat"/>
        </w:rPr>
        <w:t>Consumo y Empleo: El bajo desempleo y la moderación inflacionaria sostienen el consumo interno, mientras que la consolidación fiscal del gobierno limita el crecimiento del gasto público.</w:t>
      </w:r>
    </w:p>
    <w:p w14:paraId="38E201F1" w14:textId="77777777" w:rsidR="005125FA" w:rsidRPr="00AE36F0" w:rsidRDefault="005125FA" w:rsidP="005125FA">
      <w:pPr>
        <w:jc w:val="both"/>
        <w:rPr>
          <w:rFonts w:ascii="Montserrat" w:hAnsi="Montserrat"/>
        </w:rPr>
      </w:pPr>
    </w:p>
    <w:p w14:paraId="244779C3" w14:textId="0DBD7945" w:rsidR="005125FA" w:rsidRPr="00AE36F0" w:rsidRDefault="005125FA" w:rsidP="005125FA">
      <w:pPr>
        <w:jc w:val="both"/>
        <w:rPr>
          <w:rFonts w:ascii="Montserrat" w:hAnsi="Montserrat"/>
        </w:rPr>
      </w:pPr>
      <w:r w:rsidRPr="00AE36F0">
        <w:rPr>
          <w:rFonts w:ascii="Montserrat" w:hAnsi="Montserrat"/>
        </w:rPr>
        <w:t>Demografía: Para mediados de 2026, se estima que la población alcanzará los 134.4 millones de habitantes, lo que incrementa la presión por la creación de empleos formales y servicios básicos.</w:t>
      </w:r>
    </w:p>
    <w:p w14:paraId="6516E0CA" w14:textId="77777777" w:rsidR="005125FA" w:rsidRPr="00AE36F0" w:rsidRDefault="005125FA" w:rsidP="005125FA">
      <w:pPr>
        <w:jc w:val="both"/>
        <w:rPr>
          <w:rFonts w:ascii="Montserrat" w:hAnsi="Montserrat"/>
        </w:rPr>
      </w:pPr>
      <w:r w:rsidRPr="00AE36F0">
        <w:rPr>
          <w:rFonts w:ascii="Montserrat" w:hAnsi="Montserrat"/>
          <w:b/>
          <w:bCs/>
        </w:rPr>
        <w:lastRenderedPageBreak/>
        <w:t>Producto Interno Bruto (PIB)</w:t>
      </w:r>
      <w:r w:rsidRPr="00AE36F0">
        <w:rPr>
          <w:rFonts w:ascii="Montserrat" w:hAnsi="Montserrat"/>
        </w:rPr>
        <w:t xml:space="preserve"> al tercer trimestre de 2025. Los datos arrojados por el Instituto Nacional de Estadística y Geografía (INEGI) no son alentadores. Se aprecia una desaceleración de la economía de una tasa negativa de 0.2 % con respecto a igual trimestre del año anterior. </w:t>
      </w:r>
    </w:p>
    <w:p w14:paraId="01720C84" w14:textId="77777777" w:rsidR="005125FA" w:rsidRPr="00AE36F0" w:rsidRDefault="005125FA" w:rsidP="005125FA">
      <w:pPr>
        <w:jc w:val="both"/>
        <w:rPr>
          <w:rFonts w:ascii="Montserrat" w:hAnsi="Montserrat"/>
        </w:rPr>
      </w:pPr>
    </w:p>
    <w:p w14:paraId="39BA9301" w14:textId="77777777" w:rsidR="005125FA" w:rsidRPr="00AE36F0" w:rsidRDefault="005125FA" w:rsidP="005125FA">
      <w:pPr>
        <w:jc w:val="both"/>
        <w:rPr>
          <w:rFonts w:ascii="Montserrat" w:hAnsi="Montserrat"/>
        </w:rPr>
      </w:pPr>
      <w:r w:rsidRPr="00AE36F0">
        <w:rPr>
          <w:rFonts w:ascii="Montserrat" w:hAnsi="Montserrat"/>
          <w:noProof/>
        </w:rPr>
        <w:drawing>
          <wp:inline distT="0" distB="0" distL="0" distR="0" wp14:anchorId="35DB4D21" wp14:editId="392AB312">
            <wp:extent cx="5522400" cy="2529928"/>
            <wp:effectExtent l="0" t="0" r="2540" b="3810"/>
            <wp:docPr id="1376139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9213" name=""/>
                    <pic:cNvPicPr/>
                  </pic:nvPicPr>
                  <pic:blipFill rotWithShape="1">
                    <a:blip r:embed="rId8"/>
                    <a:srcRect l="27978" t="27915" r="7317" b="24658"/>
                    <a:stretch>
                      <a:fillRect/>
                    </a:stretch>
                  </pic:blipFill>
                  <pic:spPr bwMode="auto">
                    <a:xfrm>
                      <a:off x="0" y="0"/>
                      <a:ext cx="5545942" cy="2540713"/>
                    </a:xfrm>
                    <a:prstGeom prst="rect">
                      <a:avLst/>
                    </a:prstGeom>
                    <a:ln>
                      <a:noFill/>
                    </a:ln>
                    <a:extLst>
                      <a:ext uri="{53640926-AAD7-44D8-BBD7-CCE9431645EC}">
                        <a14:shadowObscured xmlns:a14="http://schemas.microsoft.com/office/drawing/2010/main"/>
                      </a:ext>
                    </a:extLst>
                  </pic:spPr>
                </pic:pic>
              </a:graphicData>
            </a:graphic>
          </wp:inline>
        </w:drawing>
      </w:r>
    </w:p>
    <w:p w14:paraId="450E2DE9" w14:textId="77777777" w:rsidR="005125FA" w:rsidRPr="00AE36F0" w:rsidRDefault="005125FA" w:rsidP="005125FA">
      <w:pPr>
        <w:jc w:val="both"/>
        <w:rPr>
          <w:rFonts w:ascii="Montserrat" w:hAnsi="Montserrat"/>
        </w:rPr>
      </w:pPr>
    </w:p>
    <w:p w14:paraId="45A65D3D" w14:textId="06820533" w:rsidR="005125FA" w:rsidRPr="00AE36F0" w:rsidRDefault="005125FA" w:rsidP="005125FA">
      <w:pPr>
        <w:jc w:val="both"/>
        <w:rPr>
          <w:rFonts w:ascii="Montserrat" w:hAnsi="Montserrat"/>
        </w:rPr>
      </w:pPr>
      <w:r w:rsidRPr="00AE36F0">
        <w:rPr>
          <w:rFonts w:ascii="Montserrat" w:hAnsi="Montserrat"/>
        </w:rPr>
        <w:t>La Secretaría de Hacienda y Crédito Público, se pronuncia oficialmente la proyección bastante optimista sobre el crecimiento de la economía mexicana (PIB) en 2.0 %, así mismo en este concepto, la “Encuesta sobre las Expectativas de los Especialistas en Economía del Sector Privado del Banco de México (Banxico)” arrojó que el Producto Interno Bruto (PIB) nacional crecerá 0.4 % en 2025.</w:t>
      </w:r>
    </w:p>
    <w:p w14:paraId="11A1C7FE" w14:textId="77777777" w:rsidR="005125FA" w:rsidRPr="00AE36F0" w:rsidRDefault="005125FA" w:rsidP="005125FA">
      <w:pPr>
        <w:jc w:val="both"/>
        <w:rPr>
          <w:rFonts w:ascii="Montserrat" w:hAnsi="Montserrat"/>
          <w:b/>
          <w:bCs/>
        </w:rPr>
      </w:pPr>
    </w:p>
    <w:p w14:paraId="1A53B8C4" w14:textId="0F56D7CF" w:rsidR="005125FA" w:rsidRPr="00AE36F0" w:rsidRDefault="005125FA" w:rsidP="005125FA">
      <w:pPr>
        <w:jc w:val="both"/>
        <w:rPr>
          <w:rFonts w:ascii="Montserrat" w:hAnsi="Montserrat"/>
          <w:b/>
          <w:bCs/>
        </w:rPr>
      </w:pPr>
      <w:r w:rsidRPr="00AE36F0">
        <w:rPr>
          <w:rFonts w:ascii="Montserrat" w:hAnsi="Montserrat"/>
          <w:b/>
          <w:bCs/>
        </w:rPr>
        <w:t xml:space="preserve">Trabajadores Asegurados en el Instituto Mexicano del Seguro Social (IMSS) al cierre del año 2025. </w:t>
      </w:r>
    </w:p>
    <w:p w14:paraId="55FB9375" w14:textId="77777777" w:rsidR="005125FA" w:rsidRPr="00AE36F0" w:rsidRDefault="005125FA" w:rsidP="005125FA">
      <w:pPr>
        <w:jc w:val="both"/>
        <w:rPr>
          <w:rFonts w:ascii="Montserrat" w:hAnsi="Montserrat"/>
        </w:rPr>
      </w:pPr>
    </w:p>
    <w:p w14:paraId="18E3F53F" w14:textId="4C042490" w:rsidR="005125FA" w:rsidRPr="00AE36F0" w:rsidRDefault="005125FA" w:rsidP="005125FA">
      <w:pPr>
        <w:jc w:val="both"/>
        <w:rPr>
          <w:rFonts w:ascii="Montserrat" w:hAnsi="Montserrat"/>
        </w:rPr>
      </w:pPr>
      <w:r w:rsidRPr="00AE36F0">
        <w:rPr>
          <w:rFonts w:ascii="Montserrat" w:hAnsi="Montserrat"/>
        </w:rPr>
        <w:t xml:space="preserve">Al cierre de diciembre de 2025, el Instituto Mexicano del Seguro Social (IMSS) registró un total de 22,517,076 puestos de trabajo. </w:t>
      </w:r>
    </w:p>
    <w:p w14:paraId="6707153C" w14:textId="77777777" w:rsidR="005125FA" w:rsidRPr="00AE36F0" w:rsidRDefault="005125FA" w:rsidP="005125FA">
      <w:pPr>
        <w:jc w:val="both"/>
        <w:rPr>
          <w:rFonts w:ascii="Montserrat" w:hAnsi="Montserrat"/>
        </w:rPr>
      </w:pPr>
    </w:p>
    <w:p w14:paraId="7C4434A5" w14:textId="2F54E5F8" w:rsidR="005125FA" w:rsidRPr="00AE36F0" w:rsidRDefault="005125FA" w:rsidP="005125FA">
      <w:pPr>
        <w:jc w:val="both"/>
        <w:rPr>
          <w:rFonts w:ascii="Montserrat" w:hAnsi="Montserrat"/>
        </w:rPr>
      </w:pPr>
      <w:r w:rsidRPr="00AE36F0">
        <w:rPr>
          <w:rFonts w:ascii="Montserrat" w:hAnsi="Montserrat"/>
        </w:rPr>
        <w:t>Detalles del empleo formal al cierre de 2025:</w:t>
      </w:r>
    </w:p>
    <w:p w14:paraId="2D1ED1CF" w14:textId="77777777" w:rsidR="005125FA" w:rsidRPr="00AE36F0" w:rsidRDefault="005125FA" w:rsidP="005125FA">
      <w:pPr>
        <w:jc w:val="both"/>
        <w:rPr>
          <w:rFonts w:ascii="Montserrat" w:hAnsi="Montserrat"/>
        </w:rPr>
      </w:pPr>
    </w:p>
    <w:p w14:paraId="5FA49813" w14:textId="5C90767F" w:rsidR="005125FA" w:rsidRPr="00AE36F0" w:rsidRDefault="005125FA" w:rsidP="005125FA">
      <w:pPr>
        <w:jc w:val="both"/>
        <w:rPr>
          <w:rFonts w:ascii="Montserrat" w:hAnsi="Montserrat"/>
        </w:rPr>
      </w:pPr>
      <w:r w:rsidRPr="00AE36F0">
        <w:rPr>
          <w:rFonts w:ascii="Montserrat" w:hAnsi="Montserrat"/>
        </w:rPr>
        <w:t>Composición del empleo: Del total de puestos, el 86.4% corresponden a plazas permanentes y el 13.6% a plazas eventuales.</w:t>
      </w:r>
    </w:p>
    <w:p w14:paraId="7F8997C6" w14:textId="77777777" w:rsidR="005125FA" w:rsidRPr="00AE36F0" w:rsidRDefault="005125FA" w:rsidP="005125FA">
      <w:pPr>
        <w:jc w:val="both"/>
        <w:rPr>
          <w:rFonts w:ascii="Montserrat" w:hAnsi="Montserrat"/>
        </w:rPr>
      </w:pPr>
    </w:p>
    <w:p w14:paraId="486AEDBD" w14:textId="15C69D34" w:rsidR="005125FA" w:rsidRPr="00AE36F0" w:rsidRDefault="005125FA" w:rsidP="005125FA">
      <w:pPr>
        <w:jc w:val="both"/>
        <w:rPr>
          <w:rFonts w:ascii="Montserrat" w:hAnsi="Montserrat"/>
        </w:rPr>
      </w:pPr>
      <w:r w:rsidRPr="00AE36F0">
        <w:rPr>
          <w:rFonts w:ascii="Montserrat" w:hAnsi="Montserrat"/>
        </w:rPr>
        <w:t>Variación anual: El empleo formal creció un 1.3% durante el año, lo que representó la creación neta de 278,697 nuevos puestos en comparación con el cierre de 2024.</w:t>
      </w:r>
    </w:p>
    <w:p w14:paraId="492F4786" w14:textId="77777777" w:rsidR="005125FA" w:rsidRPr="00AE36F0" w:rsidRDefault="005125FA" w:rsidP="005125FA">
      <w:pPr>
        <w:jc w:val="both"/>
        <w:rPr>
          <w:rFonts w:ascii="Montserrat" w:hAnsi="Montserrat"/>
        </w:rPr>
      </w:pPr>
      <w:r w:rsidRPr="00AE36F0">
        <w:rPr>
          <w:rFonts w:ascii="Montserrat" w:hAnsi="Montserrat"/>
        </w:rPr>
        <w:t>Factor estacional: Solo en el mes de diciembre se registró una caída de 320,692 puestos, una disminución habitual debido al ciclo estacional de fin de año.</w:t>
      </w:r>
    </w:p>
    <w:p w14:paraId="19B14C25" w14:textId="77777777" w:rsidR="005125FA" w:rsidRPr="00AE36F0" w:rsidRDefault="005125FA" w:rsidP="005125FA">
      <w:pPr>
        <w:jc w:val="both"/>
        <w:rPr>
          <w:rFonts w:ascii="Montserrat" w:hAnsi="Montserrat"/>
        </w:rPr>
      </w:pPr>
    </w:p>
    <w:p w14:paraId="35D7ADAE" w14:textId="1263CCB7" w:rsidR="005125FA" w:rsidRPr="00AE36F0" w:rsidRDefault="005125FA" w:rsidP="005125FA">
      <w:pPr>
        <w:jc w:val="both"/>
        <w:rPr>
          <w:rFonts w:ascii="Montserrat" w:hAnsi="Montserrat"/>
        </w:rPr>
      </w:pPr>
      <w:r w:rsidRPr="00AE36F0">
        <w:rPr>
          <w:rFonts w:ascii="Montserrat" w:hAnsi="Montserrat"/>
        </w:rPr>
        <w:t>Salario promedio: El salario base de cotización promedio alcanzó los $627.9 pesos diarios, marcando un récord histórico para un mes de diciembre con un incremento anual nominal del 6.9%.</w:t>
      </w:r>
    </w:p>
    <w:p w14:paraId="6B74D99E" w14:textId="77777777" w:rsidR="005125FA" w:rsidRPr="00AE36F0" w:rsidRDefault="005125FA" w:rsidP="005125FA">
      <w:pPr>
        <w:jc w:val="both"/>
        <w:rPr>
          <w:rFonts w:ascii="Montserrat" w:hAnsi="Montserrat"/>
        </w:rPr>
      </w:pPr>
    </w:p>
    <w:p w14:paraId="2E2EC96C" w14:textId="41C2DBBE" w:rsidR="005125FA" w:rsidRPr="00AE36F0" w:rsidRDefault="005125FA" w:rsidP="005125FA">
      <w:pPr>
        <w:jc w:val="both"/>
        <w:rPr>
          <w:rFonts w:ascii="Montserrat" w:hAnsi="Montserrat"/>
        </w:rPr>
      </w:pPr>
      <w:r w:rsidRPr="00AE36F0">
        <w:rPr>
          <w:rFonts w:ascii="Montserrat" w:hAnsi="Montserrat"/>
        </w:rPr>
        <w:t>Registros patronales: Se contabilizaron 1,036,119 patrones afiliados a la institución al finalizar el año.</w:t>
      </w:r>
    </w:p>
    <w:p w14:paraId="71FB8C6B" w14:textId="77777777" w:rsidR="005125FA" w:rsidRPr="00AE36F0" w:rsidRDefault="005125FA" w:rsidP="005125FA">
      <w:pPr>
        <w:jc w:val="both"/>
        <w:rPr>
          <w:rFonts w:ascii="Montserrat" w:hAnsi="Montserrat"/>
          <w:b/>
          <w:bCs/>
        </w:rPr>
      </w:pPr>
    </w:p>
    <w:p w14:paraId="53F20C93" w14:textId="5A46D6B0" w:rsidR="005125FA" w:rsidRPr="00AE36F0" w:rsidRDefault="005125FA" w:rsidP="005125FA">
      <w:pPr>
        <w:jc w:val="both"/>
        <w:rPr>
          <w:rFonts w:ascii="Montserrat" w:hAnsi="Montserrat"/>
          <w:b/>
          <w:bCs/>
        </w:rPr>
      </w:pPr>
      <w:r w:rsidRPr="00AE36F0">
        <w:rPr>
          <w:rFonts w:ascii="Montserrat" w:hAnsi="Montserrat"/>
          <w:b/>
          <w:bCs/>
        </w:rPr>
        <w:t>Inversión Extranjera Directa (IED) 2025.</w:t>
      </w:r>
    </w:p>
    <w:p w14:paraId="2439CFEF" w14:textId="77777777" w:rsidR="005125FA" w:rsidRPr="00AE36F0" w:rsidRDefault="005125FA" w:rsidP="005125FA">
      <w:pPr>
        <w:jc w:val="both"/>
        <w:rPr>
          <w:rFonts w:ascii="Montserrat" w:hAnsi="Montserrat"/>
        </w:rPr>
      </w:pPr>
    </w:p>
    <w:p w14:paraId="07D9432A" w14:textId="21FDE4A8" w:rsidR="005125FA" w:rsidRPr="00AE36F0" w:rsidRDefault="005125FA" w:rsidP="005125FA">
      <w:pPr>
        <w:jc w:val="both"/>
        <w:rPr>
          <w:rFonts w:ascii="Montserrat" w:hAnsi="Montserrat"/>
        </w:rPr>
      </w:pPr>
      <w:r w:rsidRPr="00AE36F0">
        <w:rPr>
          <w:rFonts w:ascii="Montserrat" w:hAnsi="Montserrat"/>
        </w:rPr>
        <w:t xml:space="preserve">Al cierre de 2025, México alcanzó una cifra récord de Inversión Extranjera Directa (IED), impulsada principalmente por la relocalización de cadenas de suministro (nearshoring). </w:t>
      </w:r>
    </w:p>
    <w:p w14:paraId="4110A4ED" w14:textId="77777777" w:rsidR="005125FA" w:rsidRPr="00AE36F0" w:rsidRDefault="005125FA" w:rsidP="005125FA">
      <w:pPr>
        <w:jc w:val="both"/>
        <w:rPr>
          <w:rFonts w:ascii="Montserrat" w:hAnsi="Montserrat"/>
        </w:rPr>
      </w:pPr>
    </w:p>
    <w:p w14:paraId="34F25AFB" w14:textId="58EAC190" w:rsidR="005125FA" w:rsidRPr="00AE36F0" w:rsidRDefault="005125FA" w:rsidP="005125FA">
      <w:pPr>
        <w:jc w:val="both"/>
        <w:rPr>
          <w:rFonts w:ascii="Montserrat" w:hAnsi="Montserrat"/>
        </w:rPr>
      </w:pPr>
      <w:r w:rsidRPr="00AE36F0">
        <w:rPr>
          <w:rFonts w:ascii="Montserrat" w:hAnsi="Montserrat"/>
        </w:rPr>
        <w:t>Cifras Principales de 2025</w:t>
      </w:r>
    </w:p>
    <w:p w14:paraId="6644E3E2" w14:textId="77777777" w:rsidR="005125FA" w:rsidRPr="00AE36F0" w:rsidRDefault="005125FA" w:rsidP="005125FA">
      <w:pPr>
        <w:jc w:val="both"/>
        <w:rPr>
          <w:rFonts w:ascii="Montserrat" w:hAnsi="Montserrat"/>
        </w:rPr>
      </w:pPr>
    </w:p>
    <w:p w14:paraId="509915EA" w14:textId="3693FC5A" w:rsidR="005125FA" w:rsidRPr="00AE36F0" w:rsidRDefault="005125FA" w:rsidP="005125FA">
      <w:pPr>
        <w:jc w:val="both"/>
        <w:rPr>
          <w:rFonts w:ascii="Montserrat" w:hAnsi="Montserrat"/>
        </w:rPr>
      </w:pPr>
      <w:r w:rsidRPr="00AE36F0">
        <w:rPr>
          <w:rFonts w:ascii="Montserrat" w:hAnsi="Montserrat"/>
        </w:rPr>
        <w:t>Monto Acumulado: Hasta el tercer trimestre de 2025, México captó 40,906 millones de dólares. Esta cifra superó en solo nueve meses el total de lo recibido en todo 2024 (36,058 mdd), marcando un nuevo máximo histórico.</w:t>
      </w:r>
    </w:p>
    <w:p w14:paraId="1BEA9DD5" w14:textId="77777777" w:rsidR="005125FA" w:rsidRPr="00AE36F0" w:rsidRDefault="005125FA" w:rsidP="005125FA">
      <w:pPr>
        <w:jc w:val="both"/>
        <w:rPr>
          <w:rFonts w:ascii="Montserrat" w:hAnsi="Montserrat"/>
        </w:rPr>
      </w:pPr>
      <w:r w:rsidRPr="00AE36F0">
        <w:rPr>
          <w:rFonts w:ascii="Montserrat" w:hAnsi="Montserrat"/>
        </w:rPr>
        <w:t>Crecimiento Interanual: Los datos de la Secretaría de Economía reflejan un incremento del 14.5% al 15% respecto al mismo periodo del año anterior.</w:t>
      </w:r>
    </w:p>
    <w:p w14:paraId="12B5B678" w14:textId="77777777" w:rsidR="005125FA" w:rsidRPr="00AE36F0" w:rsidRDefault="005125FA" w:rsidP="005125FA">
      <w:pPr>
        <w:jc w:val="both"/>
        <w:rPr>
          <w:rFonts w:ascii="Montserrat" w:hAnsi="Montserrat"/>
        </w:rPr>
      </w:pPr>
      <w:r w:rsidRPr="00AE36F0">
        <w:rPr>
          <w:rFonts w:ascii="Montserrat" w:hAnsi="Montserrat"/>
        </w:rPr>
        <w:t xml:space="preserve">Nuevas Inversiones: Se registró un repunte significativo en el componente de "nuevas inversiones", que sumó 6,563 millones de dólares, lo que representa un aumento superior al 218% comparado con 2024. </w:t>
      </w:r>
    </w:p>
    <w:p w14:paraId="6F540178" w14:textId="77777777" w:rsidR="005125FA" w:rsidRPr="00AE36F0" w:rsidRDefault="005125FA" w:rsidP="005125FA">
      <w:pPr>
        <w:jc w:val="both"/>
        <w:rPr>
          <w:rFonts w:ascii="Montserrat" w:hAnsi="Montserrat"/>
        </w:rPr>
      </w:pPr>
    </w:p>
    <w:p w14:paraId="6025D503" w14:textId="7BE7311C" w:rsidR="005125FA" w:rsidRPr="00AE36F0" w:rsidRDefault="005125FA" w:rsidP="005125FA">
      <w:pPr>
        <w:jc w:val="both"/>
        <w:rPr>
          <w:rFonts w:ascii="Montserrat" w:hAnsi="Montserrat"/>
        </w:rPr>
      </w:pPr>
      <w:r w:rsidRPr="00AE36F0">
        <w:rPr>
          <w:rFonts w:ascii="Montserrat" w:hAnsi="Montserrat"/>
        </w:rPr>
        <w:t>Composición de la Inversión</w:t>
      </w:r>
    </w:p>
    <w:p w14:paraId="3AA86422" w14:textId="77777777" w:rsidR="005125FA" w:rsidRPr="00AE36F0" w:rsidRDefault="005125FA" w:rsidP="005125FA">
      <w:pPr>
        <w:jc w:val="both"/>
        <w:rPr>
          <w:rFonts w:ascii="Montserrat" w:hAnsi="Montserrat"/>
        </w:rPr>
      </w:pPr>
    </w:p>
    <w:p w14:paraId="2669AF81" w14:textId="04C95401" w:rsidR="005125FA" w:rsidRPr="00AE36F0" w:rsidRDefault="005125FA" w:rsidP="005125FA">
      <w:pPr>
        <w:jc w:val="both"/>
        <w:rPr>
          <w:rFonts w:ascii="Montserrat" w:hAnsi="Montserrat"/>
        </w:rPr>
      </w:pPr>
      <w:r w:rsidRPr="00AE36F0">
        <w:rPr>
          <w:rFonts w:ascii="Montserrat" w:hAnsi="Montserrat"/>
        </w:rPr>
        <w:t>Países de Origen: Estados Unidos se mantuvo como el principal inversionista, concentrando el 39.5% de los flujos totales. Le siguieron en importancia España, Japón, Países Bajos y Canadá.</w:t>
      </w:r>
    </w:p>
    <w:p w14:paraId="16D1B480" w14:textId="77777777" w:rsidR="005125FA" w:rsidRPr="00AE36F0" w:rsidRDefault="005125FA" w:rsidP="005125FA">
      <w:pPr>
        <w:jc w:val="both"/>
        <w:rPr>
          <w:rFonts w:ascii="Montserrat" w:hAnsi="Montserrat"/>
        </w:rPr>
      </w:pPr>
    </w:p>
    <w:p w14:paraId="3F7EB26B" w14:textId="691647E9" w:rsidR="005125FA" w:rsidRPr="00AE36F0" w:rsidRDefault="005125FA" w:rsidP="005125FA">
      <w:pPr>
        <w:jc w:val="both"/>
        <w:rPr>
          <w:rFonts w:ascii="Montserrat" w:hAnsi="Montserrat"/>
        </w:rPr>
      </w:pPr>
      <w:r w:rsidRPr="00AE36F0">
        <w:rPr>
          <w:rFonts w:ascii="Montserrat" w:hAnsi="Montserrat"/>
        </w:rPr>
        <w:t>Sectores Destacados:</w:t>
      </w:r>
    </w:p>
    <w:p w14:paraId="3CB11739" w14:textId="77777777" w:rsidR="005125FA" w:rsidRPr="00AE36F0" w:rsidRDefault="005125FA" w:rsidP="005125FA">
      <w:pPr>
        <w:jc w:val="both"/>
        <w:rPr>
          <w:rFonts w:ascii="Montserrat" w:hAnsi="Montserrat"/>
        </w:rPr>
      </w:pPr>
    </w:p>
    <w:p w14:paraId="7A8F8271" w14:textId="060659D6" w:rsidR="005125FA" w:rsidRPr="00AE36F0" w:rsidRDefault="005125FA" w:rsidP="005125FA">
      <w:pPr>
        <w:jc w:val="both"/>
        <w:rPr>
          <w:rFonts w:ascii="Montserrat" w:hAnsi="Montserrat"/>
        </w:rPr>
      </w:pPr>
      <w:r w:rsidRPr="00AE36F0">
        <w:rPr>
          <w:rFonts w:ascii="Montserrat" w:hAnsi="Montserrat"/>
        </w:rPr>
        <w:t>Manufactura: Continuó siendo el principal receptor con el 37.1% del total.</w:t>
      </w:r>
    </w:p>
    <w:p w14:paraId="6E8C2581" w14:textId="77777777" w:rsidR="005125FA" w:rsidRPr="00AE36F0" w:rsidRDefault="005125FA" w:rsidP="005125FA">
      <w:pPr>
        <w:jc w:val="both"/>
        <w:rPr>
          <w:rFonts w:ascii="Montserrat" w:hAnsi="Montserrat"/>
        </w:rPr>
      </w:pPr>
      <w:r w:rsidRPr="00AE36F0">
        <w:rPr>
          <w:rFonts w:ascii="Montserrat" w:hAnsi="Montserrat"/>
        </w:rPr>
        <w:t>Servicios Financieros: Captó el 25.1% de la inversión.</w:t>
      </w:r>
    </w:p>
    <w:p w14:paraId="2A04EF38" w14:textId="77777777" w:rsidR="005125FA" w:rsidRPr="00AE36F0" w:rsidRDefault="005125FA" w:rsidP="005125FA">
      <w:pPr>
        <w:jc w:val="both"/>
        <w:rPr>
          <w:rFonts w:ascii="Montserrat" w:hAnsi="Montserrat"/>
        </w:rPr>
      </w:pPr>
    </w:p>
    <w:p w14:paraId="1187BAD4" w14:textId="70D4AD30" w:rsidR="005125FA" w:rsidRPr="00AE36F0" w:rsidRDefault="005125FA" w:rsidP="005125FA">
      <w:pPr>
        <w:jc w:val="both"/>
        <w:rPr>
          <w:rFonts w:ascii="Montserrat" w:hAnsi="Montserrat"/>
        </w:rPr>
      </w:pPr>
      <w:r w:rsidRPr="00AE36F0">
        <w:rPr>
          <w:rFonts w:ascii="Montserrat" w:hAnsi="Montserrat"/>
        </w:rPr>
        <w:t>Otros: Energía, centros de datos e infraestructura también mostraron un dinamismo relevante.</w:t>
      </w:r>
    </w:p>
    <w:p w14:paraId="08587788" w14:textId="77777777" w:rsidR="005125FA" w:rsidRPr="00AE36F0" w:rsidRDefault="005125FA" w:rsidP="005125FA">
      <w:pPr>
        <w:jc w:val="both"/>
        <w:rPr>
          <w:rFonts w:ascii="Montserrat" w:hAnsi="Montserrat"/>
        </w:rPr>
      </w:pPr>
    </w:p>
    <w:p w14:paraId="1F171F53" w14:textId="1A59F6A9" w:rsidR="005125FA" w:rsidRPr="00AE36F0" w:rsidRDefault="005125FA" w:rsidP="005125FA">
      <w:pPr>
        <w:jc w:val="both"/>
        <w:rPr>
          <w:rFonts w:ascii="Montserrat" w:hAnsi="Montserrat"/>
        </w:rPr>
      </w:pPr>
      <w:r w:rsidRPr="00AE36F0">
        <w:rPr>
          <w:rFonts w:ascii="Montserrat" w:hAnsi="Montserrat"/>
        </w:rPr>
        <w:t xml:space="preserve">Destinos Regionales: La Ciudad de México atrajo más de 19,000 millones de dólares, consolidándose como la entidad con mayor recepción de capital extranjero. </w:t>
      </w:r>
    </w:p>
    <w:p w14:paraId="059261BE" w14:textId="77777777" w:rsidR="005125FA" w:rsidRPr="00AE36F0" w:rsidRDefault="005125FA" w:rsidP="005125FA">
      <w:pPr>
        <w:jc w:val="both"/>
        <w:rPr>
          <w:rFonts w:ascii="Montserrat" w:hAnsi="Montserrat"/>
        </w:rPr>
      </w:pPr>
    </w:p>
    <w:p w14:paraId="5519717E" w14:textId="44EE507B" w:rsidR="005125FA" w:rsidRPr="00AE36F0" w:rsidRDefault="005125FA" w:rsidP="005125FA">
      <w:pPr>
        <w:jc w:val="both"/>
        <w:rPr>
          <w:rFonts w:ascii="Montserrat" w:hAnsi="Montserrat"/>
        </w:rPr>
      </w:pPr>
      <w:r w:rsidRPr="00AE36F0">
        <w:rPr>
          <w:rFonts w:ascii="Montserrat" w:hAnsi="Montserrat"/>
        </w:rPr>
        <w:t>Este flujo récord reafirma la confianza de los inversionistas internacionales en la economía mexicana como eje estratégico en América del Norte, a pesar de los retos globales en materia comercial.</w:t>
      </w:r>
    </w:p>
    <w:p w14:paraId="66E5DCA2" w14:textId="77777777" w:rsidR="005125FA" w:rsidRPr="00AE36F0" w:rsidRDefault="005125FA" w:rsidP="005125FA">
      <w:pPr>
        <w:jc w:val="both"/>
        <w:rPr>
          <w:rFonts w:ascii="Montserrat" w:hAnsi="Montserrat"/>
        </w:rPr>
      </w:pPr>
    </w:p>
    <w:p w14:paraId="4C23CD68" w14:textId="5BBC6E71" w:rsidR="005125FA" w:rsidRPr="00AE36F0" w:rsidRDefault="005125FA" w:rsidP="005125FA">
      <w:pPr>
        <w:jc w:val="both"/>
        <w:rPr>
          <w:rFonts w:ascii="Montserrat" w:hAnsi="Montserrat"/>
        </w:rPr>
      </w:pPr>
      <w:r w:rsidRPr="00AE36F0">
        <w:rPr>
          <w:rFonts w:ascii="Montserrat" w:hAnsi="Montserrat"/>
          <w:b/>
          <w:bCs/>
        </w:rPr>
        <w:t>OAXACA</w:t>
      </w:r>
      <w:r w:rsidRPr="00AE36F0">
        <w:rPr>
          <w:rFonts w:ascii="Montserrat" w:hAnsi="Montserrat"/>
        </w:rPr>
        <w:t xml:space="preserve">. </w:t>
      </w:r>
    </w:p>
    <w:p w14:paraId="2173F87C" w14:textId="77777777" w:rsidR="005125FA" w:rsidRPr="00AE36F0" w:rsidRDefault="005125FA" w:rsidP="005125FA">
      <w:pPr>
        <w:jc w:val="both"/>
        <w:rPr>
          <w:rFonts w:ascii="Montserrat" w:hAnsi="Montserrat"/>
        </w:rPr>
      </w:pPr>
    </w:p>
    <w:p w14:paraId="148BF86F" w14:textId="1B4E2F29" w:rsidR="005125FA" w:rsidRPr="00AE36F0" w:rsidRDefault="005125FA" w:rsidP="005125FA">
      <w:pPr>
        <w:jc w:val="both"/>
        <w:rPr>
          <w:rFonts w:ascii="Montserrat" w:hAnsi="Montserrat"/>
        </w:rPr>
      </w:pPr>
      <w:r w:rsidRPr="00AE36F0">
        <w:rPr>
          <w:rFonts w:ascii="Montserrat" w:hAnsi="Montserrat"/>
        </w:rPr>
        <w:t>Producto Interno Bruto por Entidad Federativa (PIBE).</w:t>
      </w:r>
    </w:p>
    <w:p w14:paraId="07A0E055" w14:textId="77777777" w:rsidR="005125FA" w:rsidRPr="00AE36F0" w:rsidRDefault="005125FA" w:rsidP="005125FA">
      <w:pPr>
        <w:jc w:val="both"/>
        <w:rPr>
          <w:rFonts w:ascii="Montserrat" w:hAnsi="Montserrat"/>
        </w:rPr>
      </w:pPr>
    </w:p>
    <w:p w14:paraId="58C67225" w14:textId="7910768C" w:rsidR="005125FA" w:rsidRPr="00AE36F0" w:rsidRDefault="005125FA" w:rsidP="005125FA">
      <w:pPr>
        <w:jc w:val="both"/>
        <w:rPr>
          <w:rFonts w:ascii="Montserrat" w:hAnsi="Montserrat"/>
        </w:rPr>
      </w:pPr>
      <w:r w:rsidRPr="00AE36F0">
        <w:rPr>
          <w:rFonts w:ascii="Montserrat" w:hAnsi="Montserrat"/>
        </w:rPr>
        <w:t xml:space="preserve">En base a los datos publicados en el Comunicado de Prensa No. 156/25, con fecha 5 de diciembre de 2025, del Producto Interno Bruto por Entidad Federativa del programa del Instituto Nacional de Estadística y Geografía (INEGI), El Estado de Oaxaca, en términos reales ha mostrado un mayor crecimiento en comparación de sus pares nacionales y de la media nacional al haber alcanzado el 5.4 % anualizado del PIB en el año de 2024. </w:t>
      </w:r>
    </w:p>
    <w:p w14:paraId="1EFDE9D5" w14:textId="77777777" w:rsidR="005125FA" w:rsidRPr="00AE36F0" w:rsidRDefault="005125FA" w:rsidP="005125FA">
      <w:pPr>
        <w:jc w:val="both"/>
        <w:rPr>
          <w:rFonts w:ascii="Montserrat" w:hAnsi="Montserrat"/>
        </w:rPr>
      </w:pPr>
    </w:p>
    <w:p w14:paraId="5015DBA5" w14:textId="41CADFF1" w:rsidR="005125FA" w:rsidRPr="00AE36F0" w:rsidRDefault="005125FA" w:rsidP="005125FA">
      <w:pPr>
        <w:jc w:val="both"/>
        <w:rPr>
          <w:rFonts w:ascii="Montserrat" w:hAnsi="Montserrat"/>
        </w:rPr>
      </w:pPr>
      <w:r w:rsidRPr="00AE36F0">
        <w:rPr>
          <w:rFonts w:ascii="Montserrat" w:hAnsi="Montserrat"/>
        </w:rPr>
        <w:t>Durante 2024, el PIB nacional registró una variación anual de 1.4 % en término reales.</w:t>
      </w:r>
    </w:p>
    <w:p w14:paraId="3EEC8F8E" w14:textId="77777777" w:rsidR="005125FA" w:rsidRPr="00AE36F0" w:rsidRDefault="005125FA" w:rsidP="005125FA">
      <w:pPr>
        <w:jc w:val="both"/>
        <w:rPr>
          <w:rFonts w:ascii="Montserrat" w:hAnsi="Montserrat"/>
        </w:rPr>
      </w:pPr>
    </w:p>
    <w:p w14:paraId="7198197D" w14:textId="0E005C96" w:rsidR="005125FA" w:rsidRPr="00AE36F0" w:rsidRDefault="005125FA" w:rsidP="005125FA">
      <w:pPr>
        <w:jc w:val="both"/>
        <w:rPr>
          <w:rFonts w:ascii="Montserrat" w:hAnsi="Montserrat"/>
        </w:rPr>
      </w:pPr>
      <w:r w:rsidRPr="00AE36F0">
        <w:rPr>
          <w:rFonts w:ascii="Montserrat" w:hAnsi="Montserrat"/>
        </w:rPr>
        <w:t>El PIB del Estado de Oaxaca a precio de mercado (base 2018), en el año 2023, registra el monto de 443 mil millones de pesos y para el año 2024, asciende a 467 mil millones de pesos, en donde se puede observar dicho crecimiento en números nominales.</w:t>
      </w:r>
    </w:p>
    <w:p w14:paraId="431209CA" w14:textId="77777777" w:rsidR="005125FA" w:rsidRPr="00AE36F0" w:rsidRDefault="005125FA" w:rsidP="005125FA">
      <w:pPr>
        <w:jc w:val="both"/>
        <w:rPr>
          <w:rFonts w:ascii="Montserrat" w:hAnsi="Montserrat"/>
        </w:rPr>
      </w:pPr>
    </w:p>
    <w:p w14:paraId="7316B45D" w14:textId="144C02BF" w:rsidR="005125FA" w:rsidRPr="00AE36F0" w:rsidRDefault="005125FA" w:rsidP="005125FA">
      <w:pPr>
        <w:jc w:val="both"/>
        <w:rPr>
          <w:rFonts w:ascii="Montserrat" w:hAnsi="Montserrat"/>
        </w:rPr>
      </w:pPr>
      <w:r w:rsidRPr="00AE36F0">
        <w:rPr>
          <w:rFonts w:ascii="Montserrat" w:hAnsi="Montserrat"/>
        </w:rPr>
        <w:lastRenderedPageBreak/>
        <w:t>La presente administración continua con el propósito de crear infraestructuras y estrategias de inversión con el apoyo de la federación para hacer que el resultado tenga una injerencia positiva en el PIB estatal. (Reconocimiento de las Agencias Calificadoras).</w:t>
      </w:r>
    </w:p>
    <w:p w14:paraId="4912399D" w14:textId="77777777" w:rsidR="005125FA" w:rsidRPr="00AE36F0" w:rsidRDefault="005125FA" w:rsidP="005125FA">
      <w:pPr>
        <w:jc w:val="both"/>
        <w:rPr>
          <w:rFonts w:ascii="Montserrat" w:hAnsi="Montserrat"/>
        </w:rPr>
      </w:pPr>
      <w:r w:rsidRPr="00AE36F0">
        <w:rPr>
          <w:rFonts w:ascii="Montserrat" w:hAnsi="Montserrat"/>
          <w:noProof/>
        </w:rPr>
        <w:drawing>
          <wp:inline distT="0" distB="0" distL="0" distR="0" wp14:anchorId="36248957" wp14:editId="32B5933E">
            <wp:extent cx="5562347" cy="4943475"/>
            <wp:effectExtent l="0" t="0" r="635" b="0"/>
            <wp:docPr id="235176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76844" name=""/>
                    <pic:cNvPicPr/>
                  </pic:nvPicPr>
                  <pic:blipFill rotWithShape="1">
                    <a:blip r:embed="rId9"/>
                    <a:srcRect l="22912" t="23896" r="26850" b="4670"/>
                    <a:stretch>
                      <a:fillRect/>
                    </a:stretch>
                  </pic:blipFill>
                  <pic:spPr bwMode="auto">
                    <a:xfrm>
                      <a:off x="0" y="0"/>
                      <a:ext cx="5577425" cy="4956876"/>
                    </a:xfrm>
                    <a:prstGeom prst="rect">
                      <a:avLst/>
                    </a:prstGeom>
                    <a:ln>
                      <a:noFill/>
                    </a:ln>
                    <a:extLst>
                      <a:ext uri="{53640926-AAD7-44D8-BBD7-CCE9431645EC}">
                        <a14:shadowObscured xmlns:a14="http://schemas.microsoft.com/office/drawing/2010/main"/>
                      </a:ext>
                    </a:extLst>
                  </pic:spPr>
                </pic:pic>
              </a:graphicData>
            </a:graphic>
          </wp:inline>
        </w:drawing>
      </w:r>
    </w:p>
    <w:p w14:paraId="131BD9E1" w14:textId="77777777" w:rsidR="005125FA" w:rsidRPr="00AE36F0" w:rsidRDefault="005125FA" w:rsidP="005125FA">
      <w:pPr>
        <w:jc w:val="both"/>
        <w:rPr>
          <w:rFonts w:ascii="Montserrat" w:hAnsi="Montserrat"/>
        </w:rPr>
      </w:pPr>
    </w:p>
    <w:p w14:paraId="5B39102E" w14:textId="260E7143" w:rsidR="005125FA" w:rsidRPr="00AE36F0" w:rsidRDefault="005125FA" w:rsidP="005125FA">
      <w:pPr>
        <w:jc w:val="both"/>
        <w:rPr>
          <w:rFonts w:ascii="Montserrat" w:hAnsi="Montserrat"/>
        </w:rPr>
      </w:pPr>
      <w:r w:rsidRPr="00AE36F0">
        <w:rPr>
          <w:rFonts w:ascii="Montserrat" w:hAnsi="Montserrat"/>
        </w:rPr>
        <w:t>El PIB nacional a precio de mercado (Base 2018) para 2024 fue de 33, 506, 847 millones de pesos corrientes.</w:t>
      </w:r>
    </w:p>
    <w:p w14:paraId="579B3BFE" w14:textId="77777777" w:rsidR="005125FA" w:rsidRPr="00AE36F0" w:rsidRDefault="005125FA" w:rsidP="005125FA">
      <w:pPr>
        <w:jc w:val="both"/>
        <w:rPr>
          <w:rFonts w:ascii="Montserrat" w:hAnsi="Montserrat"/>
        </w:rPr>
      </w:pPr>
    </w:p>
    <w:p w14:paraId="372E8DE0" w14:textId="2E824B9B" w:rsidR="005125FA" w:rsidRPr="00AE36F0" w:rsidRDefault="005125FA" w:rsidP="005125FA">
      <w:pPr>
        <w:jc w:val="both"/>
        <w:rPr>
          <w:rFonts w:ascii="Montserrat" w:hAnsi="Montserrat"/>
        </w:rPr>
      </w:pPr>
      <w:r w:rsidRPr="00AE36F0">
        <w:rPr>
          <w:rFonts w:ascii="Montserrat" w:hAnsi="Montserrat"/>
        </w:rPr>
        <w:lastRenderedPageBreak/>
        <w:t xml:space="preserve">Con respecto a la distribución del Producto Interno Bruto por entidades federativas, el Estado de Oaxaca contribuye con el porcentaje de 1.9 %. Por debajo del promedio nacional de 9.1 %. </w:t>
      </w:r>
    </w:p>
    <w:p w14:paraId="7788137E" w14:textId="77777777" w:rsidR="005125FA" w:rsidRPr="00AE36F0" w:rsidRDefault="005125FA" w:rsidP="005125FA">
      <w:pPr>
        <w:jc w:val="both"/>
        <w:rPr>
          <w:rFonts w:ascii="Montserrat" w:hAnsi="Montserrat"/>
        </w:rPr>
      </w:pPr>
    </w:p>
    <w:p w14:paraId="1005AA10" w14:textId="7959726F" w:rsidR="005125FA" w:rsidRPr="00AE36F0" w:rsidRDefault="005125FA" w:rsidP="005125FA">
      <w:pPr>
        <w:jc w:val="both"/>
        <w:rPr>
          <w:rFonts w:ascii="Montserrat" w:hAnsi="Montserrat"/>
        </w:rPr>
      </w:pPr>
      <w:r w:rsidRPr="00AE36F0">
        <w:rPr>
          <w:rFonts w:ascii="Montserrat" w:hAnsi="Montserrat"/>
        </w:rPr>
        <w:t>La participación del Estado, es meritorio porque no se queda a la zaga y rebasa a 14 estados en la creación de valores.</w:t>
      </w:r>
    </w:p>
    <w:p w14:paraId="2C3385C7" w14:textId="77777777" w:rsidR="005125FA" w:rsidRPr="00AE36F0" w:rsidRDefault="005125FA" w:rsidP="005125FA">
      <w:pPr>
        <w:jc w:val="both"/>
        <w:rPr>
          <w:rFonts w:ascii="Montserrat" w:hAnsi="Montserrat"/>
        </w:rPr>
      </w:pPr>
    </w:p>
    <w:p w14:paraId="1810D7AD" w14:textId="77777777" w:rsidR="00921D5B" w:rsidRDefault="005125FA" w:rsidP="005125FA">
      <w:pPr>
        <w:jc w:val="both"/>
        <w:rPr>
          <w:rFonts w:ascii="Montserrat" w:hAnsi="Montserrat"/>
        </w:rPr>
      </w:pPr>
      <w:r w:rsidRPr="00AE36F0">
        <w:rPr>
          <w:rFonts w:ascii="Montserrat" w:hAnsi="Montserrat"/>
        </w:rPr>
        <w:t>Desde luego, que la mayor participación corresponde a las entidades federativas más industrializadas con una inyección de inversión muy considerable.</w:t>
      </w:r>
    </w:p>
    <w:p w14:paraId="249008A7" w14:textId="77777777" w:rsidR="00921D5B" w:rsidRDefault="00921D5B" w:rsidP="005125FA">
      <w:pPr>
        <w:jc w:val="both"/>
        <w:rPr>
          <w:rFonts w:ascii="Montserrat" w:hAnsi="Montserrat"/>
        </w:rPr>
      </w:pPr>
    </w:p>
    <w:p w14:paraId="4685811F" w14:textId="5BFFBDFE" w:rsidR="005125FA" w:rsidRPr="00AE36F0" w:rsidRDefault="005125FA" w:rsidP="00921D5B">
      <w:pPr>
        <w:jc w:val="both"/>
        <w:rPr>
          <w:rFonts w:ascii="Montserrat" w:eastAsia="Times New Roman" w:hAnsi="Montserrat" w:cs="Arial"/>
          <w:color w:val="0A0A0A"/>
        </w:rPr>
      </w:pPr>
      <w:r w:rsidRPr="00AE36F0">
        <w:rPr>
          <w:rFonts w:ascii="Montserrat" w:hAnsi="Montserrat"/>
          <w:noProof/>
        </w:rPr>
        <w:drawing>
          <wp:inline distT="0" distB="0" distL="0" distR="0" wp14:anchorId="7ADE73AF" wp14:editId="65FE0CBB">
            <wp:extent cx="5430806" cy="4829175"/>
            <wp:effectExtent l="0" t="0" r="0" b="0"/>
            <wp:docPr id="18805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2430" cy="4830619"/>
                    </a:xfrm>
                    <a:prstGeom prst="rect">
                      <a:avLst/>
                    </a:prstGeom>
                    <a:noFill/>
                  </pic:spPr>
                </pic:pic>
              </a:graphicData>
            </a:graphic>
          </wp:inline>
        </w:drawing>
      </w:r>
    </w:p>
    <w:p w14:paraId="49631F62" w14:textId="4F9FF4F7" w:rsidR="005125FA" w:rsidRPr="00AE36F0" w:rsidRDefault="005125FA" w:rsidP="005125FA">
      <w:pPr>
        <w:shd w:val="clear" w:color="auto" w:fill="FFFFFF"/>
        <w:spacing w:line="360" w:lineRule="atLeast"/>
        <w:jc w:val="both"/>
        <w:rPr>
          <w:rFonts w:ascii="Montserrat" w:eastAsia="Times New Roman" w:hAnsi="Montserrat" w:cs="Arial"/>
          <w:color w:val="0A0A0A"/>
        </w:rPr>
      </w:pPr>
      <w:r w:rsidRPr="00AE36F0">
        <w:rPr>
          <w:rFonts w:ascii="Montserrat" w:eastAsia="Times New Roman" w:hAnsi="Montserrat" w:cs="Arial"/>
          <w:color w:val="0A0A0A"/>
        </w:rPr>
        <w:lastRenderedPageBreak/>
        <w:t>Durante 2025, el estado de Oaxaca mantuvo un desempeño económico destacado, consolidándose en los primeros trimestres como una de las entidades con mayor dinamismo a nivel nacional, aunque experimentó una desaceleración hacia la segunda mitad del año. </w:t>
      </w:r>
    </w:p>
    <w:p w14:paraId="3597972A" w14:textId="77777777" w:rsidR="005125FA" w:rsidRPr="00AE36F0" w:rsidRDefault="005125FA" w:rsidP="005125FA">
      <w:pPr>
        <w:shd w:val="clear" w:color="auto" w:fill="FFFFFF"/>
        <w:spacing w:line="420" w:lineRule="atLeast"/>
        <w:jc w:val="both"/>
        <w:rPr>
          <w:rFonts w:ascii="Montserrat" w:eastAsia="Times New Roman" w:hAnsi="Montserrat" w:cs="Arial"/>
          <w:b/>
          <w:bCs/>
          <w:color w:val="0A0A0A"/>
          <w:sz w:val="30"/>
          <w:szCs w:val="30"/>
        </w:rPr>
      </w:pPr>
    </w:p>
    <w:p w14:paraId="7AB7C2B2" w14:textId="0AB7507E" w:rsidR="005125FA" w:rsidRPr="00AE36F0" w:rsidRDefault="005125FA" w:rsidP="005125FA">
      <w:pPr>
        <w:shd w:val="clear" w:color="auto" w:fill="FFFFFF"/>
        <w:spacing w:line="420" w:lineRule="atLeast"/>
        <w:jc w:val="both"/>
        <w:rPr>
          <w:rFonts w:ascii="Montserrat" w:eastAsia="Times New Roman" w:hAnsi="Montserrat" w:cs="Arial"/>
          <w:b/>
          <w:bCs/>
          <w:color w:val="0A0A0A"/>
          <w:sz w:val="30"/>
          <w:szCs w:val="30"/>
        </w:rPr>
      </w:pPr>
      <w:r w:rsidRPr="00AE36F0">
        <w:rPr>
          <w:rFonts w:ascii="Montserrat" w:eastAsia="Times New Roman" w:hAnsi="Montserrat" w:cs="Arial"/>
          <w:b/>
          <w:bCs/>
          <w:color w:val="0A0A0A"/>
          <w:sz w:val="30"/>
          <w:szCs w:val="30"/>
        </w:rPr>
        <w:t>Crecimiento del PIB y Actividad Económica 2025</w:t>
      </w:r>
    </w:p>
    <w:p w14:paraId="76B52D88" w14:textId="77777777" w:rsidR="005125FA" w:rsidRPr="00AE36F0" w:rsidRDefault="005125FA" w:rsidP="005125FA">
      <w:pPr>
        <w:numPr>
          <w:ilvl w:val="0"/>
          <w:numId w:val="44"/>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Inicio de año dinámico:</w:t>
      </w:r>
      <w:r w:rsidRPr="00AE36F0">
        <w:rPr>
          <w:rFonts w:ascii="Montserrat" w:eastAsia="Times New Roman" w:hAnsi="Montserrat" w:cs="Arial"/>
          <w:color w:val="0A0A0A"/>
        </w:rPr>
        <w:t> En el primer trimestre de 2025 (1T25), Oaxaca registró un crecimiento económico anual del </w:t>
      </w:r>
      <w:r w:rsidRPr="00AE36F0">
        <w:rPr>
          <w:rFonts w:ascii="Montserrat" w:eastAsia="Times New Roman" w:hAnsi="Montserrat" w:cs="Arial"/>
          <w:b/>
          <w:bCs/>
          <w:color w:val="0A0A0A"/>
        </w:rPr>
        <w:t>5.7%</w:t>
      </w:r>
      <w:r w:rsidRPr="00AE36F0">
        <w:rPr>
          <w:rFonts w:ascii="Montserrat" w:eastAsia="Times New Roman" w:hAnsi="Montserrat" w:cs="Arial"/>
          <w:color w:val="0A0A0A"/>
        </w:rPr>
        <w:t>, posicionándose como la </w:t>
      </w:r>
      <w:r w:rsidRPr="00AE36F0">
        <w:rPr>
          <w:rFonts w:ascii="Montserrat" w:eastAsia="Times New Roman" w:hAnsi="Montserrat" w:cs="Arial"/>
          <w:b/>
          <w:bCs/>
          <w:color w:val="0A0A0A"/>
        </w:rPr>
        <w:t>segunda entidad con mayor crecimiento</w:t>
      </w:r>
      <w:r w:rsidRPr="00AE36F0">
        <w:rPr>
          <w:rFonts w:ascii="Montserrat" w:eastAsia="Times New Roman" w:hAnsi="Montserrat" w:cs="Arial"/>
          <w:color w:val="0A0A0A"/>
        </w:rPr>
        <w:t> en el país.</w:t>
      </w:r>
    </w:p>
    <w:p w14:paraId="1FA0B8D0" w14:textId="77777777" w:rsidR="005125FA" w:rsidRPr="00AE36F0" w:rsidRDefault="005125FA" w:rsidP="005125FA">
      <w:pPr>
        <w:numPr>
          <w:ilvl w:val="0"/>
          <w:numId w:val="44"/>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Desaceleración posterior:</w:t>
      </w:r>
      <w:r w:rsidRPr="00AE36F0">
        <w:rPr>
          <w:rFonts w:ascii="Montserrat" w:eastAsia="Times New Roman" w:hAnsi="Montserrat" w:cs="Arial"/>
          <w:color w:val="0A0A0A"/>
        </w:rPr>
        <w:t> Durante el segundo trimestre (2T25), la economía estatal sufrió un ajuste, registrando una caída del </w:t>
      </w:r>
      <w:r w:rsidRPr="00AE36F0">
        <w:rPr>
          <w:rFonts w:ascii="Montserrat" w:eastAsia="Times New Roman" w:hAnsi="Montserrat" w:cs="Arial"/>
          <w:b/>
          <w:bCs/>
          <w:color w:val="0A0A0A"/>
        </w:rPr>
        <w:t>2.3%</w:t>
      </w:r>
      <w:r w:rsidRPr="00AE36F0">
        <w:rPr>
          <w:rFonts w:ascii="Montserrat" w:eastAsia="Times New Roman" w:hAnsi="Montserrat" w:cs="Arial"/>
          <w:color w:val="0A0A0A"/>
        </w:rPr>
        <w:t>. No obstante, en el acumulado de enero a junio de 2025, el estado logró mantener un ligero crecimiento positivo del </w:t>
      </w:r>
      <w:r w:rsidRPr="00AE36F0">
        <w:rPr>
          <w:rFonts w:ascii="Montserrat" w:eastAsia="Times New Roman" w:hAnsi="Montserrat" w:cs="Arial"/>
          <w:b/>
          <w:bCs/>
          <w:color w:val="0A0A0A"/>
        </w:rPr>
        <w:t>1.2%</w:t>
      </w:r>
      <w:r w:rsidRPr="00AE36F0">
        <w:rPr>
          <w:rFonts w:ascii="Montserrat" w:eastAsia="Times New Roman" w:hAnsi="Montserrat" w:cs="Arial"/>
          <w:color w:val="0A0A0A"/>
        </w:rPr>
        <w:t>.</w:t>
      </w:r>
    </w:p>
    <w:p w14:paraId="73DEC785" w14:textId="77777777" w:rsidR="005125FA" w:rsidRPr="00AE36F0" w:rsidRDefault="005125FA" w:rsidP="005125FA">
      <w:pPr>
        <w:numPr>
          <w:ilvl w:val="0"/>
          <w:numId w:val="44"/>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Promedio Reciente:</w:t>
      </w:r>
      <w:r w:rsidRPr="00AE36F0">
        <w:rPr>
          <w:rFonts w:ascii="Montserrat" w:eastAsia="Times New Roman" w:hAnsi="Montserrat" w:cs="Arial"/>
          <w:color w:val="0A0A0A"/>
        </w:rPr>
        <w:t> En los últimos trimestres reportados, la economía de Oaxaca se expandió a una tasa promedio del </w:t>
      </w:r>
      <w:r w:rsidRPr="00AE36F0">
        <w:rPr>
          <w:rFonts w:ascii="Montserrat" w:eastAsia="Times New Roman" w:hAnsi="Montserrat" w:cs="Arial"/>
          <w:b/>
          <w:bCs/>
          <w:color w:val="0A0A0A"/>
        </w:rPr>
        <w:t>2.73%</w:t>
      </w:r>
      <w:r w:rsidRPr="00AE36F0">
        <w:rPr>
          <w:rFonts w:ascii="Montserrat" w:eastAsia="Times New Roman" w:hAnsi="Montserrat" w:cs="Arial"/>
          <w:color w:val="0A0A0A"/>
        </w:rPr>
        <w:t>. </w:t>
      </w:r>
    </w:p>
    <w:p w14:paraId="44992FDA" w14:textId="77777777" w:rsidR="005125FA" w:rsidRPr="00AE36F0" w:rsidRDefault="005125FA" w:rsidP="005125FA">
      <w:pPr>
        <w:shd w:val="clear" w:color="auto" w:fill="FFFFFF"/>
        <w:spacing w:line="420" w:lineRule="atLeast"/>
        <w:jc w:val="both"/>
        <w:rPr>
          <w:rFonts w:ascii="Montserrat" w:eastAsia="Times New Roman" w:hAnsi="Montserrat" w:cs="Arial"/>
          <w:b/>
          <w:bCs/>
          <w:color w:val="0A0A0A"/>
          <w:sz w:val="30"/>
          <w:szCs w:val="30"/>
        </w:rPr>
      </w:pPr>
      <w:r w:rsidRPr="00AE36F0">
        <w:rPr>
          <w:rFonts w:ascii="Montserrat" w:eastAsia="Times New Roman" w:hAnsi="Montserrat" w:cs="Arial"/>
          <w:b/>
          <w:bCs/>
          <w:color w:val="0A0A0A"/>
          <w:sz w:val="30"/>
          <w:szCs w:val="30"/>
        </w:rPr>
        <w:t>Desempeño por Sectores</w:t>
      </w:r>
    </w:p>
    <w:p w14:paraId="43CDA5D2" w14:textId="77777777" w:rsidR="005125FA" w:rsidRPr="00AE36F0" w:rsidRDefault="005125FA" w:rsidP="005125FA">
      <w:pPr>
        <w:numPr>
          <w:ilvl w:val="0"/>
          <w:numId w:val="45"/>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Actividades Primarias y Secundarias:</w:t>
      </w:r>
      <w:r w:rsidRPr="00AE36F0">
        <w:rPr>
          <w:rFonts w:ascii="Montserrat" w:eastAsia="Times New Roman" w:hAnsi="Montserrat" w:cs="Arial"/>
          <w:color w:val="0A0A0A"/>
        </w:rPr>
        <w:t> En la primera mitad de 2025, estos sectores fueron los motores principales, con crecimientos del </w:t>
      </w:r>
      <w:r w:rsidRPr="00AE36F0">
        <w:rPr>
          <w:rFonts w:ascii="Montserrat" w:eastAsia="Times New Roman" w:hAnsi="Montserrat" w:cs="Arial"/>
          <w:b/>
          <w:bCs/>
          <w:color w:val="0A0A0A"/>
        </w:rPr>
        <w:t>6.5%</w:t>
      </w:r>
      <w:r w:rsidRPr="00AE36F0">
        <w:rPr>
          <w:rFonts w:ascii="Montserrat" w:eastAsia="Times New Roman" w:hAnsi="Montserrat" w:cs="Arial"/>
          <w:color w:val="0A0A0A"/>
        </w:rPr>
        <w:t> y </w:t>
      </w:r>
      <w:r w:rsidRPr="00AE36F0">
        <w:rPr>
          <w:rFonts w:ascii="Montserrat" w:eastAsia="Times New Roman" w:hAnsi="Montserrat" w:cs="Arial"/>
          <w:b/>
          <w:bCs/>
          <w:color w:val="0A0A0A"/>
        </w:rPr>
        <w:t>4.2%</w:t>
      </w:r>
      <w:r w:rsidRPr="00AE36F0">
        <w:rPr>
          <w:rFonts w:ascii="Montserrat" w:eastAsia="Times New Roman" w:hAnsi="Montserrat" w:cs="Arial"/>
          <w:color w:val="0A0A0A"/>
        </w:rPr>
        <w:t> respectivamente.</w:t>
      </w:r>
    </w:p>
    <w:p w14:paraId="435F4B25" w14:textId="77777777" w:rsidR="005125FA" w:rsidRPr="00AE36F0" w:rsidRDefault="005125FA" w:rsidP="005125FA">
      <w:pPr>
        <w:numPr>
          <w:ilvl w:val="0"/>
          <w:numId w:val="45"/>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Actividades Terciarias (Comercio y Servicios):</w:t>
      </w:r>
      <w:r w:rsidRPr="00AE36F0">
        <w:rPr>
          <w:rFonts w:ascii="Montserrat" w:eastAsia="Times New Roman" w:hAnsi="Montserrat" w:cs="Arial"/>
          <w:color w:val="0A0A0A"/>
        </w:rPr>
        <w:t> Mostraron debilidad con una disminución del </w:t>
      </w:r>
      <w:r w:rsidRPr="00AE36F0">
        <w:rPr>
          <w:rFonts w:ascii="Montserrat" w:eastAsia="Times New Roman" w:hAnsi="Montserrat" w:cs="Arial"/>
          <w:b/>
          <w:bCs/>
          <w:color w:val="0A0A0A"/>
        </w:rPr>
        <w:t>1.1%</w:t>
      </w:r>
      <w:r w:rsidRPr="00AE36F0">
        <w:rPr>
          <w:rFonts w:ascii="Montserrat" w:eastAsia="Times New Roman" w:hAnsi="Montserrat" w:cs="Arial"/>
          <w:color w:val="0A0A0A"/>
        </w:rPr>
        <w:t> en el mismo periodo.</w:t>
      </w:r>
    </w:p>
    <w:p w14:paraId="39D2ACD3" w14:textId="77777777" w:rsidR="005125FA" w:rsidRPr="00AE36F0" w:rsidRDefault="005125FA" w:rsidP="005125FA">
      <w:pPr>
        <w:numPr>
          <w:ilvl w:val="0"/>
          <w:numId w:val="45"/>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Manufactura:</w:t>
      </w:r>
      <w:r w:rsidRPr="00AE36F0">
        <w:rPr>
          <w:rFonts w:ascii="Montserrat" w:eastAsia="Times New Roman" w:hAnsi="Montserrat" w:cs="Arial"/>
          <w:color w:val="0A0A0A"/>
        </w:rPr>
        <w:t> Este sector representa aproximadamente el </w:t>
      </w:r>
      <w:r w:rsidRPr="00AE36F0">
        <w:rPr>
          <w:rFonts w:ascii="Montserrat" w:eastAsia="Times New Roman" w:hAnsi="Montserrat" w:cs="Arial"/>
          <w:b/>
          <w:bCs/>
          <w:color w:val="0A0A0A"/>
        </w:rPr>
        <w:t>17.74%</w:t>
      </w:r>
      <w:r w:rsidRPr="00AE36F0">
        <w:rPr>
          <w:rFonts w:ascii="Montserrat" w:eastAsia="Times New Roman" w:hAnsi="Montserrat" w:cs="Arial"/>
          <w:color w:val="0A0A0A"/>
        </w:rPr>
        <w:t> de la economía total de la entidad. </w:t>
      </w:r>
    </w:p>
    <w:p w14:paraId="623CE115" w14:textId="77777777" w:rsidR="005125FA" w:rsidRPr="00AE36F0" w:rsidRDefault="005125FA" w:rsidP="00921D5B">
      <w:pPr>
        <w:keepNext/>
        <w:shd w:val="clear" w:color="auto" w:fill="FFFFFF"/>
        <w:spacing w:line="420" w:lineRule="atLeast"/>
        <w:jc w:val="both"/>
        <w:rPr>
          <w:rFonts w:ascii="Montserrat" w:eastAsia="Times New Roman" w:hAnsi="Montserrat" w:cs="Arial"/>
          <w:b/>
          <w:bCs/>
          <w:color w:val="0A0A0A"/>
          <w:sz w:val="30"/>
          <w:szCs w:val="30"/>
        </w:rPr>
      </w:pPr>
      <w:r w:rsidRPr="00AE36F0">
        <w:rPr>
          <w:rFonts w:ascii="Montserrat" w:eastAsia="Times New Roman" w:hAnsi="Montserrat" w:cs="Arial"/>
          <w:b/>
          <w:bCs/>
          <w:color w:val="0A0A0A"/>
          <w:sz w:val="30"/>
          <w:szCs w:val="30"/>
        </w:rPr>
        <w:lastRenderedPageBreak/>
        <w:t>Indicadores Sociales y Laborales</w:t>
      </w:r>
    </w:p>
    <w:p w14:paraId="5493D8F1" w14:textId="77777777" w:rsidR="005125FA" w:rsidRPr="00AE36F0" w:rsidRDefault="005125FA" w:rsidP="005125FA">
      <w:pPr>
        <w:numPr>
          <w:ilvl w:val="0"/>
          <w:numId w:val="46"/>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Pobreza Laboral:</w:t>
      </w:r>
      <w:r w:rsidRPr="00AE36F0">
        <w:rPr>
          <w:rFonts w:ascii="Montserrat" w:eastAsia="Times New Roman" w:hAnsi="Montserrat" w:cs="Arial"/>
          <w:color w:val="0A0A0A"/>
        </w:rPr>
        <w:t> A pesar del crecimiento del PIB, el </w:t>
      </w:r>
      <w:r w:rsidRPr="00AE36F0">
        <w:rPr>
          <w:rFonts w:ascii="Montserrat" w:eastAsia="Times New Roman" w:hAnsi="Montserrat" w:cs="Arial"/>
          <w:b/>
          <w:bCs/>
          <w:color w:val="0A0A0A"/>
        </w:rPr>
        <w:t>58.1%</w:t>
      </w:r>
      <w:r w:rsidRPr="00AE36F0">
        <w:rPr>
          <w:rFonts w:ascii="Montserrat" w:eastAsia="Times New Roman" w:hAnsi="Montserrat" w:cs="Arial"/>
          <w:color w:val="0A0A0A"/>
        </w:rPr>
        <w:t> de la población se encuentra en pobreza laboral, siendo la segunda entidad con el peor desempeño en este rubro en México.</w:t>
      </w:r>
    </w:p>
    <w:p w14:paraId="46F6681F" w14:textId="77777777" w:rsidR="005125FA" w:rsidRPr="00AE36F0" w:rsidRDefault="005125FA" w:rsidP="005125FA">
      <w:pPr>
        <w:numPr>
          <w:ilvl w:val="0"/>
          <w:numId w:val="46"/>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Informalidad:</w:t>
      </w:r>
      <w:r w:rsidRPr="00AE36F0">
        <w:rPr>
          <w:rFonts w:ascii="Montserrat" w:eastAsia="Times New Roman" w:hAnsi="Montserrat" w:cs="Arial"/>
          <w:color w:val="0A0A0A"/>
        </w:rPr>
        <w:t> Oaxaca mantiene la tasa de informalidad más alta del país, con el </w:t>
      </w:r>
      <w:r w:rsidRPr="00AE36F0">
        <w:rPr>
          <w:rFonts w:ascii="Montserrat" w:eastAsia="Times New Roman" w:hAnsi="Montserrat" w:cs="Arial"/>
          <w:b/>
          <w:bCs/>
          <w:color w:val="0A0A0A"/>
        </w:rPr>
        <w:t>80.1%</w:t>
      </w:r>
      <w:r w:rsidRPr="00AE36F0">
        <w:rPr>
          <w:rFonts w:ascii="Montserrat" w:eastAsia="Times New Roman" w:hAnsi="Montserrat" w:cs="Arial"/>
          <w:color w:val="0A0A0A"/>
        </w:rPr>
        <w:t> de los trabajadores sin prestaciones de ley.</w:t>
      </w:r>
    </w:p>
    <w:p w14:paraId="76054D8B" w14:textId="77777777" w:rsidR="005125FA" w:rsidRPr="00AE36F0" w:rsidRDefault="005125FA" w:rsidP="005125FA">
      <w:pPr>
        <w:numPr>
          <w:ilvl w:val="0"/>
          <w:numId w:val="46"/>
        </w:numPr>
        <w:shd w:val="clear" w:color="auto" w:fill="FFFFFF"/>
        <w:spacing w:after="180" w:line="360" w:lineRule="atLeast"/>
        <w:jc w:val="both"/>
        <w:rPr>
          <w:rFonts w:ascii="Montserrat" w:eastAsia="Times New Roman" w:hAnsi="Montserrat" w:cs="Arial"/>
          <w:color w:val="0A0A0A"/>
        </w:rPr>
      </w:pPr>
      <w:r w:rsidRPr="00AE36F0">
        <w:rPr>
          <w:rFonts w:ascii="Montserrat" w:eastAsia="Times New Roman" w:hAnsi="Montserrat" w:cs="Arial"/>
          <w:b/>
          <w:bCs/>
          <w:color w:val="0A0A0A"/>
        </w:rPr>
        <w:t>Desempleo:</w:t>
      </w:r>
      <w:r w:rsidRPr="00AE36F0">
        <w:rPr>
          <w:rFonts w:ascii="Montserrat" w:eastAsia="Times New Roman" w:hAnsi="Montserrat" w:cs="Arial"/>
          <w:color w:val="0A0A0A"/>
        </w:rPr>
        <w:t> La tasa de desocupación al inicio de 2025 fue de </w:t>
      </w:r>
      <w:r w:rsidRPr="00AE36F0">
        <w:rPr>
          <w:rFonts w:ascii="Montserrat" w:eastAsia="Times New Roman" w:hAnsi="Montserrat" w:cs="Arial"/>
          <w:b/>
          <w:bCs/>
          <w:color w:val="0A0A0A"/>
        </w:rPr>
        <w:t>1.63%</w:t>
      </w:r>
      <w:r w:rsidRPr="00AE36F0">
        <w:rPr>
          <w:rFonts w:ascii="Montserrat" w:eastAsia="Times New Roman" w:hAnsi="Montserrat" w:cs="Arial"/>
          <w:color w:val="0A0A0A"/>
        </w:rPr>
        <w:t>, una de las más bajas del país. </w:t>
      </w:r>
    </w:p>
    <w:p w14:paraId="447CB6FF" w14:textId="77777777" w:rsidR="005125FA" w:rsidRPr="00AE36F0" w:rsidRDefault="005125FA" w:rsidP="005125FA">
      <w:pPr>
        <w:shd w:val="clear" w:color="auto" w:fill="FFFFFF"/>
        <w:spacing w:line="360" w:lineRule="atLeast"/>
        <w:jc w:val="both"/>
        <w:rPr>
          <w:rFonts w:ascii="Montserrat" w:eastAsia="Times New Roman" w:hAnsi="Montserrat" w:cs="Arial"/>
          <w:color w:val="0A0A0A"/>
        </w:rPr>
      </w:pPr>
      <w:r w:rsidRPr="00AE36F0">
        <w:rPr>
          <w:rFonts w:ascii="Montserrat" w:eastAsia="Times New Roman" w:hAnsi="Montserrat" w:cs="Arial"/>
          <w:color w:val="0A0A0A"/>
        </w:rPr>
        <w:t>Para 2026, el Congreso del Estado de Oaxaca proyecta un escenario optimista con un crecimiento estimado en un rango de entre </w:t>
      </w:r>
      <w:r w:rsidRPr="00AE36F0">
        <w:rPr>
          <w:rFonts w:ascii="Montserrat" w:eastAsia="Times New Roman" w:hAnsi="Montserrat" w:cs="Arial"/>
          <w:b/>
          <w:bCs/>
          <w:color w:val="0A0A0A"/>
        </w:rPr>
        <w:t>1.8% y 2.8%</w:t>
      </w:r>
      <w:r w:rsidRPr="00AE36F0">
        <w:rPr>
          <w:rFonts w:ascii="Montserrat" w:eastAsia="Times New Roman" w:hAnsi="Montserrat" w:cs="Arial"/>
          <w:color w:val="0A0A0A"/>
        </w:rPr>
        <w:t>. </w:t>
      </w:r>
    </w:p>
    <w:p w14:paraId="31E4E08C" w14:textId="423CA633" w:rsidR="005125FA" w:rsidRPr="00AE36F0" w:rsidRDefault="005125FA" w:rsidP="00E55C31">
      <w:pPr>
        <w:pStyle w:val="NormalWeb"/>
        <w:jc w:val="both"/>
        <w:rPr>
          <w:rFonts w:ascii="Montserrat" w:hAnsi="Montserrat"/>
          <w:color w:val="000000"/>
        </w:rPr>
      </w:pPr>
      <w:r w:rsidRPr="00AE36F0">
        <w:rPr>
          <w:rFonts w:ascii="Montserrat" w:hAnsi="Montserrat"/>
        </w:rPr>
        <w:t>El Heraldo de México de circulación nacional, el 08 de diciembre de 2025, dio a conocer una noticia de gran impacto relacionada con la aprobación de las Agencias Calificadoras sobre los resultados de la revisión anual para determinar la calificación del riesgo crediticio de la siguiente manera: “</w:t>
      </w:r>
      <w:r w:rsidRPr="00AE36F0">
        <w:rPr>
          <w:rFonts w:ascii="Montserrat" w:hAnsi="Montserrat"/>
          <w:color w:val="000000"/>
        </w:rPr>
        <w:t>En un hecho sin precedentes, las agencias </w:t>
      </w:r>
      <w:r w:rsidRPr="00AE36F0">
        <w:rPr>
          <w:rStyle w:val="Textoennegrita"/>
          <w:rFonts w:ascii="Montserrat" w:eastAsiaTheme="majorEastAsia" w:hAnsi="Montserrat"/>
          <w:color w:val="000000"/>
        </w:rPr>
        <w:t>Fitch Ratings</w:t>
      </w:r>
      <w:r w:rsidRPr="00AE36F0">
        <w:rPr>
          <w:rFonts w:ascii="Montserrat" w:hAnsi="Montserrat"/>
          <w:color w:val="000000"/>
        </w:rPr>
        <w:t>, </w:t>
      </w:r>
      <w:r w:rsidRPr="00AE36F0">
        <w:rPr>
          <w:rStyle w:val="Textoennegrita"/>
          <w:rFonts w:ascii="Montserrat" w:eastAsiaTheme="majorEastAsia" w:hAnsi="Montserrat"/>
          <w:color w:val="000000"/>
        </w:rPr>
        <w:t>HR</w:t>
      </w:r>
      <w:r w:rsidR="00E55C31" w:rsidRPr="00AE36F0">
        <w:rPr>
          <w:rStyle w:val="Textoennegrita"/>
          <w:rFonts w:ascii="Montserrat" w:eastAsiaTheme="majorEastAsia" w:hAnsi="Montserrat"/>
          <w:color w:val="000000"/>
        </w:rPr>
        <w:t xml:space="preserve"> </w:t>
      </w:r>
      <w:r w:rsidRPr="00AE36F0">
        <w:rPr>
          <w:rStyle w:val="Textoennegrita"/>
          <w:rFonts w:ascii="Montserrat" w:eastAsiaTheme="majorEastAsia" w:hAnsi="Montserrat"/>
          <w:color w:val="000000"/>
        </w:rPr>
        <w:t>Ratings</w:t>
      </w:r>
      <w:r w:rsidRPr="00AE36F0">
        <w:rPr>
          <w:rFonts w:ascii="Montserrat" w:hAnsi="Montserrat"/>
          <w:color w:val="000000"/>
        </w:rPr>
        <w:t>, </w:t>
      </w:r>
      <w:r w:rsidRPr="00AE36F0">
        <w:rPr>
          <w:rStyle w:val="Textoennegrita"/>
          <w:rFonts w:ascii="Montserrat" w:eastAsiaTheme="majorEastAsia" w:hAnsi="Montserrat"/>
          <w:color w:val="000000"/>
        </w:rPr>
        <w:t>Moody’s </w:t>
      </w:r>
      <w:r w:rsidRPr="00AE36F0">
        <w:rPr>
          <w:rFonts w:ascii="Montserrat" w:hAnsi="Montserrat"/>
          <w:color w:val="000000"/>
        </w:rPr>
        <w:t>y </w:t>
      </w:r>
      <w:r w:rsidRPr="00AE36F0">
        <w:rPr>
          <w:rStyle w:val="Textoennegrita"/>
          <w:rFonts w:ascii="Montserrat" w:eastAsiaTheme="majorEastAsia" w:hAnsi="Montserrat"/>
          <w:color w:val="000000"/>
        </w:rPr>
        <w:t>Standard &amp; Poor’s</w:t>
      </w:r>
      <w:r w:rsidRPr="00AE36F0">
        <w:rPr>
          <w:rFonts w:ascii="Montserrat" w:hAnsi="Montserrat"/>
          <w:color w:val="000000"/>
        </w:rPr>
        <w:t> han elevado simultáneamente la calificación crediticia de </w:t>
      </w:r>
      <w:r w:rsidRPr="00AE36F0">
        <w:rPr>
          <w:rStyle w:val="Textoennegrita"/>
          <w:rFonts w:ascii="Montserrat" w:eastAsiaTheme="majorEastAsia" w:hAnsi="Montserrat"/>
          <w:color w:val="000000"/>
        </w:rPr>
        <w:t>Oaxaca</w:t>
      </w:r>
      <w:r w:rsidRPr="00AE36F0">
        <w:rPr>
          <w:rFonts w:ascii="Montserrat" w:hAnsi="Montserrat"/>
          <w:color w:val="000000"/>
        </w:rPr>
        <w:t> y posicionan a la entidad con un nuevo y mayor nivel de confianza ante los mercados financieros nacional e internacional.</w:t>
      </w:r>
    </w:p>
    <w:p w14:paraId="34872ACF" w14:textId="77777777" w:rsidR="005125FA" w:rsidRPr="00AE36F0" w:rsidRDefault="005125FA" w:rsidP="00E55C31">
      <w:pPr>
        <w:pStyle w:val="NormalWeb"/>
        <w:jc w:val="both"/>
        <w:rPr>
          <w:rFonts w:ascii="Montserrat" w:hAnsi="Montserrat"/>
          <w:color w:val="000000"/>
        </w:rPr>
      </w:pPr>
      <w:r w:rsidRPr="00AE36F0">
        <w:rPr>
          <w:rFonts w:ascii="Montserrat" w:hAnsi="Montserrat"/>
          <w:color w:val="000000"/>
        </w:rPr>
        <w:t>El eficiente manejo de la hacienda pública y el compromiso con la disciplina financiera del </w:t>
      </w:r>
      <w:r w:rsidRPr="00AE36F0">
        <w:rPr>
          <w:rStyle w:val="Textoennegrita"/>
          <w:rFonts w:ascii="Montserrat" w:eastAsiaTheme="majorEastAsia" w:hAnsi="Montserrat"/>
          <w:color w:val="000000"/>
        </w:rPr>
        <w:t>Gobierno de Salomón Jara Cruz</w:t>
      </w:r>
      <w:r w:rsidRPr="00AE36F0">
        <w:rPr>
          <w:rFonts w:ascii="Montserrat" w:hAnsi="Montserrat"/>
          <w:color w:val="000000"/>
        </w:rPr>
        <w:t> ha permitido fortalecer las finanzas públicas de </w:t>
      </w:r>
      <w:r w:rsidRPr="00AE36F0">
        <w:rPr>
          <w:rStyle w:val="Textoennegrita"/>
          <w:rFonts w:ascii="Montserrat" w:eastAsiaTheme="majorEastAsia" w:hAnsi="Montserrat"/>
          <w:color w:val="000000"/>
        </w:rPr>
        <w:t>Oaxaca</w:t>
      </w:r>
      <w:r w:rsidRPr="00AE36F0">
        <w:rPr>
          <w:rFonts w:ascii="Montserrat" w:hAnsi="Montserrat"/>
          <w:color w:val="000000"/>
        </w:rPr>
        <w:t> y coloca a este estado como un referente nacional, que ha sido reconocido por tercer año consecutivo por parte de estas calificadoras de riesgos”. </w:t>
      </w:r>
    </w:p>
    <w:p w14:paraId="408219C5" w14:textId="77777777" w:rsidR="005125FA" w:rsidRPr="00AE36F0" w:rsidRDefault="005125FA" w:rsidP="005125FA">
      <w:pPr>
        <w:jc w:val="both"/>
        <w:rPr>
          <w:rFonts w:ascii="Montserrat" w:hAnsi="Montserrat"/>
        </w:rPr>
      </w:pPr>
      <w:r w:rsidRPr="00AE36F0">
        <w:rPr>
          <w:rFonts w:ascii="Montserrat" w:hAnsi="Montserrat"/>
          <w:noProof/>
        </w:rPr>
        <w:lastRenderedPageBreak/>
        <w:drawing>
          <wp:inline distT="0" distB="0" distL="0" distR="0" wp14:anchorId="47EBEC98" wp14:editId="40E05C15">
            <wp:extent cx="5407200" cy="4107685"/>
            <wp:effectExtent l="0" t="0" r="3175" b="7620"/>
            <wp:docPr id="98720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0123" name=""/>
                    <pic:cNvPicPr/>
                  </pic:nvPicPr>
                  <pic:blipFill rotWithShape="1">
                    <a:blip r:embed="rId11"/>
                    <a:srcRect l="11162" t="18063" r="39691" b="22202"/>
                    <a:stretch>
                      <a:fillRect/>
                    </a:stretch>
                  </pic:blipFill>
                  <pic:spPr bwMode="auto">
                    <a:xfrm>
                      <a:off x="0" y="0"/>
                      <a:ext cx="5432506" cy="4126909"/>
                    </a:xfrm>
                    <a:prstGeom prst="rect">
                      <a:avLst/>
                    </a:prstGeom>
                    <a:ln>
                      <a:noFill/>
                    </a:ln>
                    <a:extLst>
                      <a:ext uri="{53640926-AAD7-44D8-BBD7-CCE9431645EC}">
                        <a14:shadowObscured xmlns:a14="http://schemas.microsoft.com/office/drawing/2010/main"/>
                      </a:ext>
                    </a:extLst>
                  </pic:spPr>
                </pic:pic>
              </a:graphicData>
            </a:graphic>
          </wp:inline>
        </w:drawing>
      </w:r>
    </w:p>
    <w:p w14:paraId="5A237AD9" w14:textId="77777777" w:rsidR="005125FA" w:rsidRPr="00AE36F0" w:rsidRDefault="005125FA" w:rsidP="005125FA">
      <w:pPr>
        <w:rPr>
          <w:rFonts w:ascii="Montserrat" w:hAnsi="Montserrat"/>
        </w:rPr>
      </w:pPr>
      <w:r w:rsidRPr="00AE36F0">
        <w:rPr>
          <w:rFonts w:ascii="Montserrat" w:hAnsi="Montserrat"/>
        </w:rPr>
        <w:t xml:space="preserve">A mayor capacidad de pago, mayor confianza, en consecuencia, mayor certeza jurídica y mejores condiciones para acceder a financiamiento y atraer inversiones. </w:t>
      </w:r>
    </w:p>
    <w:p w14:paraId="1D61AFDA" w14:textId="77777777" w:rsidR="00E55C31" w:rsidRPr="00AE36F0" w:rsidRDefault="00E55C31" w:rsidP="005125FA">
      <w:pPr>
        <w:rPr>
          <w:rFonts w:ascii="Montserrat" w:hAnsi="Montserrat"/>
        </w:rPr>
      </w:pPr>
    </w:p>
    <w:bookmarkEnd w:id="3"/>
    <w:p w14:paraId="351346CE" w14:textId="1659D30A" w:rsidR="00B0059B" w:rsidRPr="00AE36F0" w:rsidRDefault="00B0059B" w:rsidP="00F129E5">
      <w:pPr>
        <w:pStyle w:val="Prrafodelista"/>
        <w:widowControl w:val="0"/>
        <w:numPr>
          <w:ilvl w:val="0"/>
          <w:numId w:val="6"/>
        </w:numPr>
        <w:ind w:left="426" w:hanging="426"/>
        <w:jc w:val="both"/>
        <w:rPr>
          <w:rFonts w:ascii="Montserrat" w:hAnsi="Montserrat"/>
          <w:b/>
          <w:sz w:val="24"/>
          <w:szCs w:val="24"/>
        </w:rPr>
      </w:pPr>
      <w:r w:rsidRPr="00AE36F0">
        <w:rPr>
          <w:rFonts w:ascii="Montserrat" w:hAnsi="Montserrat"/>
          <w:b/>
          <w:sz w:val="24"/>
          <w:szCs w:val="24"/>
        </w:rPr>
        <w:t>Organización y Objeto Social.</w:t>
      </w:r>
    </w:p>
    <w:p w14:paraId="30BECA59" w14:textId="77777777" w:rsidR="00B0059B" w:rsidRPr="00AE36F0" w:rsidRDefault="00B0059B" w:rsidP="00B0059B">
      <w:pPr>
        <w:pStyle w:val="Prrafodelista"/>
        <w:widowControl w:val="0"/>
        <w:ind w:left="426"/>
        <w:jc w:val="both"/>
        <w:rPr>
          <w:rFonts w:ascii="Montserrat" w:hAnsi="Montserrat"/>
          <w:b/>
          <w:sz w:val="24"/>
          <w:szCs w:val="24"/>
        </w:rPr>
      </w:pPr>
    </w:p>
    <w:p w14:paraId="226577E0"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Objeto social.</w:t>
      </w:r>
    </w:p>
    <w:p w14:paraId="29B4810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w:t>
      </w:r>
      <w:r w:rsidRPr="00AE36F0">
        <w:rPr>
          <w:rFonts w:ascii="Montserrat" w:eastAsia="Times New Roman" w:hAnsi="Montserrat" w:cs="Arial"/>
        </w:rPr>
        <w:lastRenderedPageBreak/>
        <w:t xml:space="preserve">garantizar los derechos humanos, de conformidad con los principios de universalidad, interdependencia, pluriculturalidad y progresividad. </w:t>
      </w:r>
    </w:p>
    <w:p w14:paraId="0CC79DCD" w14:textId="77777777" w:rsidR="00B0059B" w:rsidRPr="00AE36F0" w:rsidRDefault="00B0059B" w:rsidP="00B0059B">
      <w:pPr>
        <w:tabs>
          <w:tab w:val="left" w:pos="7260"/>
        </w:tabs>
        <w:jc w:val="both"/>
        <w:rPr>
          <w:rFonts w:ascii="Montserrat" w:eastAsia="Times New Roman" w:hAnsi="Montserrat" w:cs="Arial"/>
        </w:rPr>
      </w:pPr>
    </w:p>
    <w:p w14:paraId="60FD7F49"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AE36F0" w:rsidRDefault="00B0059B" w:rsidP="00B0059B">
      <w:pPr>
        <w:tabs>
          <w:tab w:val="left" w:pos="7260"/>
        </w:tabs>
        <w:jc w:val="both"/>
        <w:rPr>
          <w:rFonts w:ascii="Montserrat" w:eastAsia="Times New Roman" w:hAnsi="Montserrat" w:cs="Arial"/>
        </w:rPr>
      </w:pPr>
    </w:p>
    <w:p w14:paraId="0E6EDB95"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Principal actividad</w:t>
      </w:r>
    </w:p>
    <w:p w14:paraId="4DEA9867"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AE36F0" w:rsidRDefault="00B0059B" w:rsidP="00B0059B">
      <w:pPr>
        <w:tabs>
          <w:tab w:val="left" w:pos="7260"/>
        </w:tabs>
        <w:jc w:val="both"/>
        <w:rPr>
          <w:rFonts w:ascii="Montserrat" w:eastAsia="Times New Roman" w:hAnsi="Montserrat" w:cs="Arial"/>
        </w:rPr>
      </w:pPr>
    </w:p>
    <w:p w14:paraId="6F7428F2"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Ejercicio fiscal</w:t>
      </w:r>
    </w:p>
    <w:p w14:paraId="5653C97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AE36F0" w:rsidRDefault="00B0059B" w:rsidP="00B0059B">
      <w:pPr>
        <w:tabs>
          <w:tab w:val="left" w:pos="7260"/>
        </w:tabs>
        <w:jc w:val="both"/>
        <w:rPr>
          <w:rFonts w:ascii="Montserrat" w:eastAsia="Times New Roman" w:hAnsi="Montserrat" w:cs="Arial"/>
        </w:rPr>
      </w:pPr>
    </w:p>
    <w:p w14:paraId="48137C41" w14:textId="33208540"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Por tanto, la información financiera presentada en este documento </w:t>
      </w:r>
      <w:r w:rsidR="00772A80" w:rsidRPr="00AE36F0">
        <w:rPr>
          <w:rFonts w:ascii="Montserrat" w:eastAsia="Times New Roman" w:hAnsi="Montserrat" w:cs="Arial"/>
        </w:rPr>
        <w:t>s</w:t>
      </w:r>
      <w:r w:rsidRPr="00AE36F0">
        <w:rPr>
          <w:rFonts w:ascii="Montserrat" w:eastAsia="Times New Roman" w:hAnsi="Montserrat" w:cs="Arial"/>
        </w:rPr>
        <w:t>e refiere al periodo relativo a</w:t>
      </w:r>
      <w:r w:rsidR="009A6A70" w:rsidRPr="00AE36F0">
        <w:rPr>
          <w:rFonts w:ascii="Montserrat" w:eastAsia="Times New Roman" w:hAnsi="Montserrat" w:cs="Arial"/>
        </w:rPr>
        <w:t xml:space="preserve">l </w:t>
      </w:r>
      <w:r w:rsidRPr="00AE36F0">
        <w:rPr>
          <w:rFonts w:ascii="Montserrat" w:eastAsia="Times New Roman" w:hAnsi="Montserrat" w:cs="Arial"/>
        </w:rPr>
        <w:t>año calendario</w:t>
      </w:r>
      <w:r w:rsidR="009A6A70" w:rsidRPr="00AE36F0">
        <w:rPr>
          <w:rFonts w:ascii="Montserrat" w:eastAsia="Times New Roman" w:hAnsi="Montserrat" w:cs="Arial"/>
        </w:rPr>
        <w:t xml:space="preserve"> corriente</w:t>
      </w:r>
      <w:r w:rsidRPr="00AE36F0">
        <w:rPr>
          <w:rFonts w:ascii="Montserrat" w:eastAsia="Times New Roman" w:hAnsi="Montserrat" w:cs="Arial"/>
        </w:rPr>
        <w:t>, que comprende del 1 de enero</w:t>
      </w:r>
      <w:r w:rsidR="00772A80" w:rsidRPr="00AE36F0">
        <w:rPr>
          <w:rFonts w:ascii="Montserrat" w:eastAsia="Times New Roman" w:hAnsi="Montserrat" w:cs="Arial"/>
        </w:rPr>
        <w:t xml:space="preserve"> al 3</w:t>
      </w:r>
      <w:r w:rsidR="00367E13" w:rsidRPr="00AE36F0">
        <w:rPr>
          <w:rFonts w:ascii="Montserrat" w:eastAsia="Times New Roman" w:hAnsi="Montserrat" w:cs="Arial"/>
        </w:rPr>
        <w:t>1</w:t>
      </w:r>
      <w:r w:rsidR="00C16F98" w:rsidRPr="00AE36F0">
        <w:rPr>
          <w:rFonts w:ascii="Montserrat" w:eastAsia="Times New Roman" w:hAnsi="Montserrat" w:cs="Arial"/>
        </w:rPr>
        <w:t xml:space="preserve"> de </w:t>
      </w:r>
      <w:r w:rsidR="00367E13" w:rsidRPr="00AE36F0">
        <w:rPr>
          <w:rFonts w:ascii="Montserrat" w:eastAsia="Times New Roman" w:hAnsi="Montserrat" w:cs="Arial"/>
        </w:rPr>
        <w:t>diciembre de</w:t>
      </w:r>
      <w:r w:rsidR="009A6A70" w:rsidRPr="00AE36F0">
        <w:rPr>
          <w:rFonts w:ascii="Montserrat" w:eastAsia="Times New Roman" w:hAnsi="Montserrat" w:cs="Arial"/>
        </w:rPr>
        <w:t xml:space="preserve"> 2025</w:t>
      </w:r>
      <w:r w:rsidRPr="00AE36F0">
        <w:rPr>
          <w:rFonts w:ascii="Montserrat" w:eastAsia="Times New Roman" w:hAnsi="Montserrat" w:cs="Arial"/>
        </w:rPr>
        <w:t>, y está directamente relacionado el ejercicio del presupuesto de ingresos estimado y el presupuesto de egresos autorizado para el ejercicio 202</w:t>
      </w:r>
      <w:r w:rsidR="009A6A70" w:rsidRPr="00AE36F0">
        <w:rPr>
          <w:rFonts w:ascii="Montserrat" w:eastAsia="Times New Roman" w:hAnsi="Montserrat" w:cs="Arial"/>
        </w:rPr>
        <w:t>5</w:t>
      </w:r>
      <w:r w:rsidRPr="00AE36F0">
        <w:rPr>
          <w:rFonts w:ascii="Montserrat" w:eastAsia="Times New Roman" w:hAnsi="Montserrat" w:cs="Arial"/>
        </w:rPr>
        <w:t>.</w:t>
      </w:r>
    </w:p>
    <w:p w14:paraId="2E92B117" w14:textId="77777777" w:rsidR="00B0059B" w:rsidRPr="00AE36F0" w:rsidRDefault="00B0059B" w:rsidP="00B0059B">
      <w:pPr>
        <w:tabs>
          <w:tab w:val="left" w:pos="7260"/>
        </w:tabs>
        <w:jc w:val="both"/>
        <w:rPr>
          <w:rFonts w:ascii="Montserrat" w:eastAsia="Times New Roman" w:hAnsi="Montserrat" w:cs="Arial"/>
        </w:rPr>
      </w:pPr>
    </w:p>
    <w:p w14:paraId="4CA09346" w14:textId="77777777" w:rsidR="00B0059B" w:rsidRPr="00AE36F0" w:rsidRDefault="00B0059B" w:rsidP="00031666">
      <w:pPr>
        <w:pStyle w:val="Prrafodelista"/>
        <w:keepNext/>
        <w:widowControl w:val="0"/>
        <w:numPr>
          <w:ilvl w:val="0"/>
          <w:numId w:val="12"/>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Régimen Jurídico</w:t>
      </w:r>
    </w:p>
    <w:p w14:paraId="473ECF0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está regulado por la siguiente legislación:</w:t>
      </w:r>
    </w:p>
    <w:p w14:paraId="4F9A11C5" w14:textId="77777777" w:rsidR="00B0059B" w:rsidRPr="00AE36F0" w:rsidRDefault="00B0059B" w:rsidP="00B0059B">
      <w:pPr>
        <w:tabs>
          <w:tab w:val="left" w:pos="7260"/>
        </w:tabs>
        <w:jc w:val="both"/>
        <w:rPr>
          <w:rFonts w:ascii="Montserrat" w:eastAsia="Times New Roman" w:hAnsi="Montserrat" w:cs="Arial"/>
        </w:rPr>
      </w:pPr>
    </w:p>
    <w:p w14:paraId="64A8898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La Constitución Política de los Estados Unidos Mexicanos.</w:t>
      </w:r>
    </w:p>
    <w:p w14:paraId="30B2085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Constitución Política del Estado Libre y Soberano de Oaxaca.</w:t>
      </w:r>
    </w:p>
    <w:p w14:paraId="38F7DAB0"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Orgánica del Poder Ejecutivo del Estado de Oaxaca</w:t>
      </w:r>
    </w:p>
    <w:p w14:paraId="178D51E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Estatal de Presupuesto y Responsabilidad Hacendaria</w:t>
      </w:r>
    </w:p>
    <w:p w14:paraId="238CCF96"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Ley General de Contabilidad Gubernamental.</w:t>
      </w:r>
    </w:p>
    <w:p w14:paraId="6C0462D7"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Responsabilidades Administrativas del Estado y Municipios de Oaxaca.</w:t>
      </w:r>
    </w:p>
    <w:p w14:paraId="7F50B887"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Estatal de Hacienda</w:t>
      </w:r>
    </w:p>
    <w:p w14:paraId="56C41EEF"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Coordinación Fiscal para el Estado de Oaxaca</w:t>
      </w:r>
    </w:p>
    <w:p w14:paraId="3CE39576"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Deuda Pública para el Estado de Oaxaca</w:t>
      </w:r>
    </w:p>
    <w:p w14:paraId="01E99328"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Transparencia y Acceso a la Información Pública para el Estado de Oaxaca</w:t>
      </w:r>
    </w:p>
    <w:p w14:paraId="78BF1D5A" w14:textId="5FA16BA1"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Ley de Ingresos del Estado de Oaxaca para el periodo 202</w:t>
      </w:r>
      <w:r w:rsidR="00772A80" w:rsidRPr="00AE36F0">
        <w:rPr>
          <w:rFonts w:ascii="Montserrat" w:eastAsia="Times New Roman" w:hAnsi="Montserrat" w:cs="Arial"/>
          <w:sz w:val="24"/>
          <w:szCs w:val="24"/>
        </w:rPr>
        <w:t>4</w:t>
      </w:r>
    </w:p>
    <w:p w14:paraId="56D5EBE6" w14:textId="0C20D48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Presupuestos de Egresos del Estado de Oaxaca para el periodo 202</w:t>
      </w:r>
      <w:r w:rsidR="00772A80" w:rsidRPr="00AE36F0">
        <w:rPr>
          <w:rFonts w:ascii="Montserrat" w:eastAsia="Times New Roman" w:hAnsi="Montserrat" w:cs="Arial"/>
          <w:sz w:val="24"/>
          <w:szCs w:val="24"/>
        </w:rPr>
        <w:t>4</w:t>
      </w:r>
      <w:r w:rsidRPr="00AE36F0">
        <w:rPr>
          <w:rFonts w:ascii="Montserrat" w:eastAsia="Times New Roman" w:hAnsi="Montserrat" w:cs="Arial"/>
          <w:sz w:val="24"/>
          <w:szCs w:val="24"/>
        </w:rPr>
        <w:t xml:space="preserve"> </w:t>
      </w:r>
    </w:p>
    <w:p w14:paraId="67C7BE2E" w14:textId="77777777" w:rsidR="00B0059B" w:rsidRPr="00AE36F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Entre otras.</w:t>
      </w:r>
    </w:p>
    <w:p w14:paraId="74D7CC90" w14:textId="77777777" w:rsidR="00B0059B" w:rsidRPr="00AE36F0"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Consideraciones fiscales</w:t>
      </w:r>
    </w:p>
    <w:p w14:paraId="5CFB3AF5"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AE36F0" w:rsidRDefault="00B0059B" w:rsidP="00B0059B">
      <w:pPr>
        <w:tabs>
          <w:tab w:val="left" w:pos="7260"/>
        </w:tabs>
        <w:jc w:val="both"/>
        <w:rPr>
          <w:rFonts w:ascii="Montserrat" w:eastAsia="Times New Roman" w:hAnsi="Montserrat" w:cs="Arial"/>
        </w:rPr>
      </w:pPr>
    </w:p>
    <w:p w14:paraId="2854BEBC"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Declaración mensual de las personas físicas con actividades empresariales y profesionales.</w:t>
      </w:r>
    </w:p>
    <w:p w14:paraId="5625F1E9"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Presentar la Declaración Informativa Anual de Subsidios para el Empleo.</w:t>
      </w:r>
    </w:p>
    <w:p w14:paraId="123FD920"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Presentar la Declaración Informativa Mensual de Operaciones con Terceros. </w:t>
      </w:r>
    </w:p>
    <w:p w14:paraId="36796C27" w14:textId="77777777" w:rsidR="00B0059B" w:rsidRPr="00AE36F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Presentar la información del aviso para la aplicación de estímulos a entidades federativas, municipios y otros organismos públicos.</w:t>
      </w:r>
    </w:p>
    <w:p w14:paraId="6B36F19A" w14:textId="77777777" w:rsidR="00B0059B" w:rsidRPr="00AE36F0"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AE36F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Estructura Organizacional Básica.</w:t>
      </w:r>
    </w:p>
    <w:p w14:paraId="5C5EC158"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AE36F0" w:rsidRDefault="00B0059B" w:rsidP="00B0059B">
      <w:pPr>
        <w:tabs>
          <w:tab w:val="left" w:pos="7260"/>
        </w:tabs>
        <w:jc w:val="both"/>
        <w:rPr>
          <w:rFonts w:ascii="Montserrat" w:eastAsia="Times New Roman" w:hAnsi="Montserrat" w:cs="Arial"/>
        </w:rPr>
      </w:pPr>
    </w:p>
    <w:p w14:paraId="4DE4A1D3"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AE36F0" w:rsidRDefault="00B0059B" w:rsidP="00B0059B">
      <w:pPr>
        <w:tabs>
          <w:tab w:val="left" w:pos="7260"/>
        </w:tabs>
        <w:jc w:val="both"/>
        <w:rPr>
          <w:rFonts w:ascii="Montserrat" w:eastAsia="Times New Roman" w:hAnsi="Montserrat" w:cs="Arial"/>
        </w:rPr>
      </w:pPr>
    </w:p>
    <w:p w14:paraId="25C19C98" w14:textId="77777777" w:rsidR="00B0059B" w:rsidRPr="00AE36F0" w:rsidRDefault="00B0059B" w:rsidP="002D361E">
      <w:pPr>
        <w:keepNext/>
        <w:tabs>
          <w:tab w:val="left" w:pos="7260"/>
        </w:tabs>
        <w:jc w:val="both"/>
        <w:rPr>
          <w:rFonts w:ascii="Montserrat" w:eastAsia="Times New Roman" w:hAnsi="Montserrat" w:cs="Arial"/>
        </w:rPr>
      </w:pPr>
      <w:r w:rsidRPr="00AE36F0">
        <w:rPr>
          <w:rFonts w:ascii="Montserrat" w:eastAsia="Times New Roman" w:hAnsi="Montserrat" w:cs="Arial"/>
        </w:rPr>
        <w:t>Administración Pública Centralizada</w:t>
      </w:r>
    </w:p>
    <w:p w14:paraId="0FA143B2" w14:textId="77777777" w:rsidR="00B0059B" w:rsidRPr="00AE36F0" w:rsidRDefault="00B0059B" w:rsidP="002D361E">
      <w:pPr>
        <w:keepNext/>
        <w:tabs>
          <w:tab w:val="left" w:pos="7260"/>
        </w:tabs>
        <w:jc w:val="both"/>
        <w:rPr>
          <w:rFonts w:ascii="Montserrat" w:eastAsia="Times New Roman" w:hAnsi="Montserrat" w:cs="Arial"/>
        </w:rPr>
      </w:pPr>
    </w:p>
    <w:p w14:paraId="38AEBA4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AE36F0" w:rsidRDefault="00B0059B" w:rsidP="00B0059B">
      <w:pPr>
        <w:tabs>
          <w:tab w:val="left" w:pos="7260"/>
        </w:tabs>
        <w:jc w:val="both"/>
        <w:rPr>
          <w:rFonts w:ascii="Montserrat" w:eastAsia="Times New Roman" w:hAnsi="Montserrat" w:cs="Arial"/>
        </w:rPr>
      </w:pPr>
    </w:p>
    <w:p w14:paraId="43A14B8C"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Gubernatura</w:t>
      </w:r>
    </w:p>
    <w:p w14:paraId="1DDC17D2"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Gobierno</w:t>
      </w:r>
    </w:p>
    <w:p w14:paraId="1F8AA497"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Seguridad Pública y Protección Ciudadana </w:t>
      </w:r>
    </w:p>
    <w:p w14:paraId="24D8EB68"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Infraestructuras y Comunicaciones </w:t>
      </w:r>
    </w:p>
    <w:p w14:paraId="30CBB140"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del Trabajo</w:t>
      </w:r>
    </w:p>
    <w:p w14:paraId="115BAE22"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Secretaría de Movilidad</w:t>
      </w:r>
    </w:p>
    <w:p w14:paraId="05340594"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las Culturas y Artes </w:t>
      </w:r>
    </w:p>
    <w:p w14:paraId="37C6AD39"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Bienestar, Tequio e Inclusión </w:t>
      </w:r>
    </w:p>
    <w:p w14:paraId="5BF02EDC" w14:textId="77777777" w:rsidR="00B0059B" w:rsidRPr="00AE36F0" w:rsidRDefault="00B0059B" w:rsidP="00031666">
      <w:pPr>
        <w:pStyle w:val="Prrafodelista"/>
        <w:numPr>
          <w:ilvl w:val="0"/>
          <w:numId w:val="37"/>
        </w:numPr>
        <w:tabs>
          <w:tab w:val="left" w:pos="7260"/>
        </w:tabs>
        <w:rPr>
          <w:rFonts w:ascii="Montserrat" w:eastAsia="Times New Roman" w:hAnsi="Montserrat" w:cs="Arial"/>
          <w:sz w:val="24"/>
          <w:szCs w:val="24"/>
        </w:rPr>
      </w:pPr>
      <w:r w:rsidRPr="00AE36F0">
        <w:rPr>
          <w:rFonts w:ascii="Montserrat" w:eastAsia="Times New Roman" w:hAnsi="Montserrat" w:cs="Arial"/>
          <w:sz w:val="24"/>
          <w:szCs w:val="24"/>
        </w:rPr>
        <w:t>Secretaría de Interculturalidad, Pueblos y Comunidades Indígenas y Afromexicanas</w:t>
      </w:r>
    </w:p>
    <w:p w14:paraId="28428EE1"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Fomento Agroalimentario y Desarrollo Rural </w:t>
      </w:r>
    </w:p>
    <w:p w14:paraId="1C70293A"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Finanzas</w:t>
      </w:r>
    </w:p>
    <w:p w14:paraId="15EA6798"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Administración</w:t>
      </w:r>
      <w:r w:rsidRPr="00AE36F0">
        <w:rPr>
          <w:rFonts w:ascii="Montserrat" w:eastAsia="Times New Roman" w:hAnsi="Montserrat" w:cs="Arial"/>
          <w:sz w:val="24"/>
          <w:szCs w:val="24"/>
        </w:rPr>
        <w:tab/>
      </w:r>
    </w:p>
    <w:p w14:paraId="5C94FDAC"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Honestidad, Transparencia y Función Pública</w:t>
      </w:r>
      <w:r w:rsidRPr="00AE36F0">
        <w:rPr>
          <w:rFonts w:ascii="Montserrat" w:eastAsia="Times New Roman" w:hAnsi="Montserrat" w:cs="Arial"/>
          <w:sz w:val="24"/>
          <w:szCs w:val="24"/>
        </w:rPr>
        <w:tab/>
      </w:r>
      <w:r w:rsidRPr="00AE36F0">
        <w:rPr>
          <w:rFonts w:ascii="Montserrat" w:eastAsia="Times New Roman" w:hAnsi="Montserrat" w:cs="Arial"/>
          <w:sz w:val="24"/>
          <w:szCs w:val="24"/>
        </w:rPr>
        <w:tab/>
      </w:r>
    </w:p>
    <w:p w14:paraId="5AD485F3"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Consejería Jurídica y Asistencia Legal del Estado</w:t>
      </w:r>
      <w:r w:rsidRPr="00AE36F0">
        <w:rPr>
          <w:rFonts w:ascii="Montserrat" w:eastAsia="Times New Roman" w:hAnsi="Montserrat" w:cs="Arial"/>
          <w:sz w:val="24"/>
          <w:szCs w:val="24"/>
        </w:rPr>
        <w:tab/>
      </w:r>
    </w:p>
    <w:p w14:paraId="2623ACA5"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Coordinación de Comunicación Social</w:t>
      </w:r>
      <w:r w:rsidRPr="00AE36F0">
        <w:rPr>
          <w:rFonts w:ascii="Montserrat" w:eastAsia="Times New Roman" w:hAnsi="Montserrat" w:cs="Arial"/>
          <w:sz w:val="24"/>
          <w:szCs w:val="24"/>
        </w:rPr>
        <w:tab/>
      </w:r>
    </w:p>
    <w:p w14:paraId="41A308F6"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Coordinación para la Atención de los Derechos Humanos</w:t>
      </w:r>
      <w:r w:rsidRPr="00AE36F0">
        <w:rPr>
          <w:rFonts w:ascii="Montserrat" w:eastAsia="Times New Roman" w:hAnsi="Montserrat" w:cs="Arial"/>
          <w:sz w:val="24"/>
          <w:szCs w:val="24"/>
        </w:rPr>
        <w:tab/>
      </w:r>
    </w:p>
    <w:p w14:paraId="269BA919"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Instituto de Planeación para el Bienestar</w:t>
      </w:r>
      <w:r w:rsidRPr="00AE36F0">
        <w:rPr>
          <w:rFonts w:ascii="Montserrat" w:eastAsia="Times New Roman" w:hAnsi="Montserrat" w:cs="Arial"/>
          <w:sz w:val="24"/>
          <w:szCs w:val="24"/>
        </w:rPr>
        <w:tab/>
      </w:r>
    </w:p>
    <w:p w14:paraId="3CB2F4DB"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Secretariado Ejecutivo del Sistema Estatal de Seguridad Pública</w:t>
      </w:r>
      <w:r w:rsidRPr="00AE36F0">
        <w:rPr>
          <w:rFonts w:ascii="Montserrat" w:eastAsia="Times New Roman" w:hAnsi="Montserrat" w:cs="Arial"/>
          <w:sz w:val="24"/>
          <w:szCs w:val="24"/>
        </w:rPr>
        <w:tab/>
      </w:r>
    </w:p>
    <w:p w14:paraId="3868480E"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 Desarrollo Económico</w:t>
      </w:r>
    </w:p>
    <w:p w14:paraId="13A11A67"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Turismo </w:t>
      </w:r>
    </w:p>
    <w:p w14:paraId="267EA8AD"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Secretaría de las Mujeres </w:t>
      </w:r>
    </w:p>
    <w:p w14:paraId="6419C4B8"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Secretaría del Medio Ambiente, Biodiversidad, Energías y Sostenibilidad</w:t>
      </w:r>
    </w:p>
    <w:p w14:paraId="4B9CB8CF" w14:textId="77777777" w:rsidR="00B0059B" w:rsidRPr="00AE36F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Secretaria de Educación Pública</w:t>
      </w:r>
    </w:p>
    <w:p w14:paraId="566AC19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AE36F0" w:rsidRDefault="00B0059B" w:rsidP="00B0059B">
      <w:pPr>
        <w:autoSpaceDE w:val="0"/>
        <w:autoSpaceDN w:val="0"/>
        <w:adjustRightInd w:val="0"/>
        <w:jc w:val="both"/>
        <w:rPr>
          <w:rFonts w:ascii="Montserrat" w:hAnsi="Montserrat"/>
        </w:rPr>
      </w:pPr>
    </w:p>
    <w:p w14:paraId="77FEF84E" w14:textId="1F66EF10" w:rsidR="00B0059B" w:rsidRPr="00AE36F0" w:rsidRDefault="00B0059B" w:rsidP="00B0059B">
      <w:pPr>
        <w:autoSpaceDE w:val="0"/>
        <w:autoSpaceDN w:val="0"/>
        <w:adjustRightInd w:val="0"/>
        <w:jc w:val="both"/>
        <w:rPr>
          <w:rFonts w:ascii="Montserrat" w:eastAsia="Times New Roman" w:hAnsi="Montserrat" w:cs="Arial"/>
        </w:rPr>
      </w:pPr>
      <w:r w:rsidRPr="00AE36F0">
        <w:rPr>
          <w:rFonts w:ascii="Montserrat" w:eastAsia="Times New Roman" w:hAnsi="Montserrat" w:cs="Arial"/>
        </w:rPr>
        <w:t xml:space="preserve">Es importante mencionar que en lo que va de la presente administración se han extinguido </w:t>
      </w:r>
      <w:r w:rsidR="00AF7183" w:rsidRPr="00AE36F0">
        <w:rPr>
          <w:rFonts w:ascii="Montserrat" w:eastAsia="Times New Roman" w:hAnsi="Montserrat" w:cs="Arial"/>
        </w:rPr>
        <w:t>quince</w:t>
      </w:r>
      <w:r w:rsidRPr="00AE36F0">
        <w:rPr>
          <w:rFonts w:ascii="Montserrat" w:eastAsia="Times New Roman" w:hAnsi="Montserrat" w:cs="Arial"/>
        </w:rPr>
        <w:t xml:space="preserve"> entes públicos, dos pertenecientes a la Administración Pública Centralizada, </w:t>
      </w:r>
      <w:r w:rsidR="002B1DFE" w:rsidRPr="00AE36F0">
        <w:rPr>
          <w:rFonts w:ascii="Montserrat" w:eastAsia="Times New Roman" w:hAnsi="Montserrat" w:cs="Arial"/>
        </w:rPr>
        <w:t>once</w:t>
      </w:r>
      <w:r w:rsidRPr="00AE36F0">
        <w:rPr>
          <w:rFonts w:ascii="Montserrat" w:eastAsia="Times New Roman" w:hAnsi="Montserrat" w:cs="Arial"/>
        </w:rPr>
        <w:t xml:space="preserve"> a la Administración Pública Descentralizada, uno a los Órganos Auxiliares y uno más a los Órganos Autónomos de los cuales diez fueron absorbidos por dependencias del </w:t>
      </w:r>
      <w:r w:rsidRPr="00AE36F0">
        <w:rPr>
          <w:rFonts w:ascii="Montserrat" w:eastAsia="Times New Roman" w:hAnsi="Montserrat" w:cs="Arial"/>
        </w:rPr>
        <w:lastRenderedPageBreak/>
        <w:t>Sector Central y uno se transformó parte de la Administración Pública Descentralizada</w:t>
      </w:r>
      <w:r w:rsidR="00D55BB4" w:rsidRPr="00AE36F0">
        <w:rPr>
          <w:rFonts w:ascii="Montserrat" w:eastAsia="Times New Roman" w:hAnsi="Montserrat" w:cs="Arial"/>
        </w:rPr>
        <w:t xml:space="preserve">; </w:t>
      </w:r>
      <w:r w:rsidRPr="00AE36F0">
        <w:rPr>
          <w:rFonts w:ascii="Montserrat" w:eastAsia="Times New Roman" w:hAnsi="Montserrat" w:cs="Arial"/>
        </w:rPr>
        <w:t>de acuerdo con el siguiente cuadro:</w:t>
      </w:r>
    </w:p>
    <w:p w14:paraId="365468E9" w14:textId="77777777" w:rsidR="00362B39" w:rsidRPr="00AE36F0" w:rsidRDefault="00362B39" w:rsidP="00B0059B">
      <w:pPr>
        <w:autoSpaceDE w:val="0"/>
        <w:autoSpaceDN w:val="0"/>
        <w:adjustRightInd w:val="0"/>
        <w:jc w:val="both"/>
        <w:rPr>
          <w:rFonts w:ascii="Montserrat" w:eastAsia="Times New Roman" w:hAnsi="Montserrat"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4830"/>
      </w:tblGrid>
      <w:tr w:rsidR="00FD2DE6" w:rsidRPr="00AE36F0" w14:paraId="22225815" w14:textId="77777777" w:rsidTr="001536E6">
        <w:trPr>
          <w:trHeight w:val="309"/>
          <w:tblHeader/>
        </w:trPr>
        <w:tc>
          <w:tcPr>
            <w:tcW w:w="4210" w:type="dxa"/>
            <w:vAlign w:val="center"/>
            <w:hideMark/>
          </w:tcPr>
          <w:p w14:paraId="2F51C888" w14:textId="77777777" w:rsidR="00362B39" w:rsidRPr="00AE36F0" w:rsidRDefault="00362B39" w:rsidP="00362B39">
            <w:pPr>
              <w:jc w:val="center"/>
              <w:rPr>
                <w:rFonts w:ascii="Montserrat" w:eastAsia="Times New Roman" w:hAnsi="Montserrat" w:cs="Times New Roman"/>
                <w:lang w:val="es-MX"/>
              </w:rPr>
            </w:pPr>
            <w:r w:rsidRPr="00AE36F0">
              <w:rPr>
                <w:rFonts w:ascii="Montserrat" w:eastAsia="Times New Roman" w:hAnsi="Montserrat" w:cs="Times New Roman"/>
              </w:rPr>
              <w:t>Ente extinto</w:t>
            </w:r>
          </w:p>
        </w:tc>
        <w:tc>
          <w:tcPr>
            <w:tcW w:w="4830" w:type="dxa"/>
            <w:vAlign w:val="center"/>
            <w:hideMark/>
          </w:tcPr>
          <w:p w14:paraId="6F86D18F" w14:textId="77777777" w:rsidR="00362B39" w:rsidRPr="00AE36F0" w:rsidRDefault="00362B39" w:rsidP="00362B39">
            <w:pPr>
              <w:jc w:val="center"/>
              <w:rPr>
                <w:rFonts w:ascii="Montserrat" w:eastAsia="Times New Roman" w:hAnsi="Montserrat" w:cs="Times New Roman"/>
                <w:lang w:val="es-MX"/>
              </w:rPr>
            </w:pPr>
            <w:r w:rsidRPr="00AE36F0">
              <w:rPr>
                <w:rFonts w:ascii="Montserrat" w:eastAsia="Times New Roman" w:hAnsi="Montserrat" w:cs="Times New Roman"/>
              </w:rPr>
              <w:t xml:space="preserve">Dependencia </w:t>
            </w:r>
            <w:proofErr w:type="spellStart"/>
            <w:r w:rsidRPr="00AE36F0">
              <w:rPr>
                <w:rFonts w:ascii="Montserrat" w:eastAsia="Times New Roman" w:hAnsi="Montserrat" w:cs="Times New Roman"/>
              </w:rPr>
              <w:t>fusionante</w:t>
            </w:r>
            <w:proofErr w:type="spellEnd"/>
          </w:p>
        </w:tc>
      </w:tr>
      <w:tr w:rsidR="00FD2DE6" w:rsidRPr="00AE36F0" w14:paraId="228876D5" w14:textId="77777777" w:rsidTr="001536E6">
        <w:trPr>
          <w:trHeight w:val="475"/>
        </w:trPr>
        <w:tc>
          <w:tcPr>
            <w:tcW w:w="4210" w:type="dxa"/>
            <w:vAlign w:val="center"/>
            <w:hideMark/>
          </w:tcPr>
          <w:p w14:paraId="1A99DE4B" w14:textId="77777777" w:rsidR="00362B39" w:rsidRPr="00AE36F0" w:rsidRDefault="00362B39" w:rsidP="00362B39">
            <w:pPr>
              <w:rPr>
                <w:rFonts w:ascii="Montserrat" w:eastAsia="Times New Roman" w:hAnsi="Montserrat" w:cs="Times New Roman"/>
                <w:lang w:val="es-MX"/>
              </w:rPr>
            </w:pPr>
            <w:r w:rsidRPr="00AE36F0">
              <w:rPr>
                <w:rFonts w:ascii="Montserrat" w:eastAsia="Times New Roman" w:hAnsi="Montserrat" w:cs="Times New Roman"/>
              </w:rPr>
              <w:t>Coordinación General de Unidades y Caravanas Móviles de Servicios Gratuitos</w:t>
            </w:r>
          </w:p>
        </w:tc>
        <w:tc>
          <w:tcPr>
            <w:tcW w:w="4830" w:type="dxa"/>
            <w:vAlign w:val="center"/>
            <w:hideMark/>
          </w:tcPr>
          <w:p w14:paraId="1BF1B3B9" w14:textId="77777777" w:rsidR="00362B39" w:rsidRPr="00AE36F0" w:rsidRDefault="00362B39" w:rsidP="00362B39">
            <w:pPr>
              <w:rPr>
                <w:rFonts w:ascii="Montserrat" w:eastAsia="Times New Roman" w:hAnsi="Montserrat" w:cs="Times New Roman"/>
                <w:lang w:val="es-MX"/>
              </w:rPr>
            </w:pPr>
            <w:r w:rsidRPr="00AE36F0">
              <w:rPr>
                <w:rFonts w:ascii="Montserrat" w:eastAsia="Times New Roman" w:hAnsi="Montserrat" w:cs="Times New Roman"/>
              </w:rPr>
              <w:t xml:space="preserve">Secretaría de Bienestar, Tequio e Inclusión </w:t>
            </w:r>
          </w:p>
        </w:tc>
      </w:tr>
      <w:tr w:rsidR="00036380" w:rsidRPr="00AE36F0" w14:paraId="34FA5E89" w14:textId="77777777" w:rsidTr="001536E6">
        <w:trPr>
          <w:trHeight w:val="242"/>
        </w:trPr>
        <w:tc>
          <w:tcPr>
            <w:tcW w:w="4210" w:type="dxa"/>
            <w:vAlign w:val="center"/>
            <w:hideMark/>
          </w:tcPr>
          <w:p w14:paraId="68438CD0" w14:textId="77777777" w:rsidR="00036380" w:rsidRPr="00AE36F0" w:rsidRDefault="00036380" w:rsidP="00362B39">
            <w:pPr>
              <w:rPr>
                <w:rFonts w:ascii="Montserrat" w:eastAsia="Times New Roman" w:hAnsi="Montserrat" w:cs="Times New Roman"/>
                <w:lang w:val="es-MX"/>
              </w:rPr>
            </w:pPr>
            <w:r w:rsidRPr="00AE36F0">
              <w:rPr>
                <w:rFonts w:ascii="Montserrat" w:eastAsia="Times New Roman" w:hAnsi="Montserrat" w:cs="Times New Roman"/>
              </w:rPr>
              <w:t>Coordinación General de Enlace Federal</w:t>
            </w:r>
          </w:p>
        </w:tc>
        <w:tc>
          <w:tcPr>
            <w:tcW w:w="4830" w:type="dxa"/>
            <w:vMerge w:val="restart"/>
            <w:vAlign w:val="center"/>
            <w:hideMark/>
          </w:tcPr>
          <w:p w14:paraId="027DF3B0" w14:textId="77777777" w:rsidR="00036380" w:rsidRPr="00AE36F0" w:rsidRDefault="00036380" w:rsidP="00362B39">
            <w:pPr>
              <w:rPr>
                <w:rFonts w:ascii="Montserrat" w:eastAsia="Times New Roman" w:hAnsi="Montserrat" w:cs="Times New Roman"/>
                <w:lang w:val="es-MX"/>
              </w:rPr>
            </w:pPr>
            <w:r w:rsidRPr="00AE36F0">
              <w:rPr>
                <w:rFonts w:ascii="Montserrat" w:eastAsia="Times New Roman" w:hAnsi="Montserrat" w:cs="Times New Roman"/>
              </w:rPr>
              <w:t>Secretaría de Gobierno</w:t>
            </w:r>
          </w:p>
        </w:tc>
      </w:tr>
      <w:tr w:rsidR="00036380" w:rsidRPr="00AE36F0" w14:paraId="093D0AD7" w14:textId="77777777" w:rsidTr="001536E6">
        <w:trPr>
          <w:trHeight w:val="242"/>
        </w:trPr>
        <w:tc>
          <w:tcPr>
            <w:tcW w:w="4210" w:type="dxa"/>
            <w:vAlign w:val="center"/>
          </w:tcPr>
          <w:p w14:paraId="0A0B67B5" w14:textId="346422B1"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Dirección General de Población</w:t>
            </w:r>
          </w:p>
        </w:tc>
        <w:tc>
          <w:tcPr>
            <w:tcW w:w="4830" w:type="dxa"/>
            <w:vMerge/>
            <w:vAlign w:val="center"/>
          </w:tcPr>
          <w:p w14:paraId="729640B3" w14:textId="77777777" w:rsidR="00036380" w:rsidRPr="00AE36F0" w:rsidRDefault="00036380" w:rsidP="00036380">
            <w:pPr>
              <w:rPr>
                <w:rFonts w:ascii="Montserrat" w:eastAsia="Times New Roman" w:hAnsi="Montserrat" w:cs="Times New Roman"/>
              </w:rPr>
            </w:pPr>
          </w:p>
        </w:tc>
      </w:tr>
      <w:tr w:rsidR="00036380" w:rsidRPr="00AE36F0" w14:paraId="2C068858" w14:textId="77777777" w:rsidTr="001536E6">
        <w:trPr>
          <w:trHeight w:val="242"/>
        </w:trPr>
        <w:tc>
          <w:tcPr>
            <w:tcW w:w="4210" w:type="dxa"/>
            <w:vAlign w:val="center"/>
          </w:tcPr>
          <w:p w14:paraId="55E906EF" w14:textId="0093AF5B"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Instituto de Atención Integral al Migrante Oaxaqueño</w:t>
            </w:r>
          </w:p>
        </w:tc>
        <w:tc>
          <w:tcPr>
            <w:tcW w:w="4830" w:type="dxa"/>
            <w:vMerge/>
            <w:vAlign w:val="center"/>
          </w:tcPr>
          <w:p w14:paraId="67BBD5D0" w14:textId="77777777" w:rsidR="00036380" w:rsidRPr="00AE36F0" w:rsidRDefault="00036380" w:rsidP="00036380">
            <w:pPr>
              <w:rPr>
                <w:rFonts w:ascii="Montserrat" w:eastAsia="Times New Roman" w:hAnsi="Montserrat" w:cs="Times New Roman"/>
              </w:rPr>
            </w:pPr>
          </w:p>
        </w:tc>
      </w:tr>
      <w:tr w:rsidR="00036380" w:rsidRPr="00AE36F0" w14:paraId="2BE9831F" w14:textId="77777777" w:rsidTr="001536E6">
        <w:trPr>
          <w:trHeight w:val="475"/>
        </w:trPr>
        <w:tc>
          <w:tcPr>
            <w:tcW w:w="4210" w:type="dxa"/>
            <w:vAlign w:val="center"/>
            <w:hideMark/>
          </w:tcPr>
          <w:p w14:paraId="04097F13"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Coordinación General de Relaciones Internacionales</w:t>
            </w:r>
          </w:p>
        </w:tc>
        <w:tc>
          <w:tcPr>
            <w:tcW w:w="4830" w:type="dxa"/>
            <w:vAlign w:val="center"/>
            <w:hideMark/>
          </w:tcPr>
          <w:p w14:paraId="7B5CA316"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Ninguna</w:t>
            </w:r>
          </w:p>
        </w:tc>
      </w:tr>
      <w:tr w:rsidR="00036380" w:rsidRPr="00AE36F0" w14:paraId="73B25F27" w14:textId="77777777" w:rsidTr="001536E6">
        <w:trPr>
          <w:trHeight w:val="475"/>
        </w:trPr>
        <w:tc>
          <w:tcPr>
            <w:tcW w:w="4210" w:type="dxa"/>
            <w:vAlign w:val="center"/>
            <w:hideMark/>
          </w:tcPr>
          <w:p w14:paraId="3858071E"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Oficina de Convenciones y Visitantes de Oaxaca “OCV Oaxaca”</w:t>
            </w:r>
          </w:p>
        </w:tc>
        <w:tc>
          <w:tcPr>
            <w:tcW w:w="4830" w:type="dxa"/>
            <w:vAlign w:val="center"/>
            <w:hideMark/>
          </w:tcPr>
          <w:p w14:paraId="2415CEFC"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Secretaría de Administración</w:t>
            </w:r>
          </w:p>
        </w:tc>
      </w:tr>
      <w:tr w:rsidR="00036380" w:rsidRPr="00AE36F0" w14:paraId="59788B65" w14:textId="77777777" w:rsidTr="001536E6">
        <w:trPr>
          <w:trHeight w:val="475"/>
        </w:trPr>
        <w:tc>
          <w:tcPr>
            <w:tcW w:w="4210" w:type="dxa"/>
            <w:vAlign w:val="center"/>
            <w:hideMark/>
          </w:tcPr>
          <w:p w14:paraId="4B26D04A"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Instituto Oaxaqueño de Emprendedor y de la Competitividad</w:t>
            </w:r>
          </w:p>
        </w:tc>
        <w:tc>
          <w:tcPr>
            <w:tcW w:w="4830" w:type="dxa"/>
            <w:vMerge w:val="restart"/>
            <w:vAlign w:val="center"/>
            <w:hideMark/>
          </w:tcPr>
          <w:p w14:paraId="2B11806C"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Secretaria de Desarrollo Económico</w:t>
            </w:r>
          </w:p>
        </w:tc>
      </w:tr>
      <w:tr w:rsidR="00036380" w:rsidRPr="00AE36F0" w14:paraId="05857743" w14:textId="77777777" w:rsidTr="001536E6">
        <w:trPr>
          <w:trHeight w:val="557"/>
        </w:trPr>
        <w:tc>
          <w:tcPr>
            <w:tcW w:w="4210" w:type="dxa"/>
            <w:vAlign w:val="center"/>
            <w:hideMark/>
          </w:tcPr>
          <w:p w14:paraId="00888B92"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Instituto para el Fomento y la Protección de las Artesanías</w:t>
            </w:r>
          </w:p>
        </w:tc>
        <w:tc>
          <w:tcPr>
            <w:tcW w:w="4830" w:type="dxa"/>
            <w:vMerge/>
            <w:vAlign w:val="center"/>
            <w:hideMark/>
          </w:tcPr>
          <w:p w14:paraId="115F0668" w14:textId="77777777" w:rsidR="00036380" w:rsidRPr="00AE36F0" w:rsidRDefault="00036380" w:rsidP="00036380">
            <w:pPr>
              <w:rPr>
                <w:rFonts w:ascii="Montserrat" w:eastAsia="Times New Roman" w:hAnsi="Montserrat" w:cs="Times New Roman"/>
                <w:lang w:val="es-MX"/>
              </w:rPr>
            </w:pPr>
          </w:p>
        </w:tc>
      </w:tr>
      <w:tr w:rsidR="00036380" w:rsidRPr="00AE36F0" w14:paraId="4C60E49D" w14:textId="77777777" w:rsidTr="001536E6">
        <w:trPr>
          <w:trHeight w:val="557"/>
        </w:trPr>
        <w:tc>
          <w:tcPr>
            <w:tcW w:w="4210" w:type="dxa"/>
            <w:vAlign w:val="center"/>
          </w:tcPr>
          <w:p w14:paraId="77E997A4" w14:textId="7B79569F"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Coordinación Estatal del Corredor Interoceánico del Istmo</w:t>
            </w:r>
          </w:p>
        </w:tc>
        <w:tc>
          <w:tcPr>
            <w:tcW w:w="4830" w:type="dxa"/>
            <w:vAlign w:val="center"/>
          </w:tcPr>
          <w:p w14:paraId="576B59CD" w14:textId="16EF7183"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lang w:val="es-MX"/>
              </w:rPr>
              <w:t>Gubernatura</w:t>
            </w:r>
          </w:p>
        </w:tc>
      </w:tr>
      <w:tr w:rsidR="00036380" w:rsidRPr="00AE36F0" w14:paraId="39929E38" w14:textId="77777777" w:rsidTr="001536E6">
        <w:trPr>
          <w:trHeight w:val="709"/>
        </w:trPr>
        <w:tc>
          <w:tcPr>
            <w:tcW w:w="4210" w:type="dxa"/>
            <w:vAlign w:val="center"/>
            <w:hideMark/>
          </w:tcPr>
          <w:p w14:paraId="6C3CFC26"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Coordinación General de Educación Media Superior y Superior, Ciencia y Tecnología</w:t>
            </w:r>
          </w:p>
        </w:tc>
        <w:tc>
          <w:tcPr>
            <w:tcW w:w="4830" w:type="dxa"/>
            <w:vMerge w:val="restart"/>
            <w:vAlign w:val="center"/>
            <w:hideMark/>
          </w:tcPr>
          <w:p w14:paraId="7AA225D7"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Secretaria de Educación Pública</w:t>
            </w:r>
          </w:p>
        </w:tc>
      </w:tr>
      <w:tr w:rsidR="00036380" w:rsidRPr="00AE36F0" w14:paraId="50954E06" w14:textId="77777777" w:rsidTr="001536E6">
        <w:trPr>
          <w:trHeight w:val="709"/>
        </w:trPr>
        <w:tc>
          <w:tcPr>
            <w:tcW w:w="4210" w:type="dxa"/>
            <w:vAlign w:val="center"/>
            <w:hideMark/>
          </w:tcPr>
          <w:p w14:paraId="48CCA096"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Comisión Estatal para la Planeación de la Educación Superior en el Estado de Oaxaca</w:t>
            </w:r>
          </w:p>
        </w:tc>
        <w:tc>
          <w:tcPr>
            <w:tcW w:w="4830" w:type="dxa"/>
            <w:vMerge/>
            <w:vAlign w:val="center"/>
            <w:hideMark/>
          </w:tcPr>
          <w:p w14:paraId="6D3976F4" w14:textId="77777777" w:rsidR="00036380" w:rsidRPr="00AE36F0" w:rsidRDefault="00036380" w:rsidP="00036380">
            <w:pPr>
              <w:rPr>
                <w:rFonts w:ascii="Montserrat" w:eastAsia="Times New Roman" w:hAnsi="Montserrat" w:cs="Times New Roman"/>
                <w:lang w:val="es-MX"/>
              </w:rPr>
            </w:pPr>
          </w:p>
        </w:tc>
      </w:tr>
      <w:tr w:rsidR="00036380" w:rsidRPr="00AE36F0" w14:paraId="6D6E56E5" w14:textId="77777777" w:rsidTr="001536E6">
        <w:trPr>
          <w:trHeight w:val="709"/>
        </w:trPr>
        <w:tc>
          <w:tcPr>
            <w:tcW w:w="4210" w:type="dxa"/>
            <w:vAlign w:val="center"/>
            <w:hideMark/>
          </w:tcPr>
          <w:p w14:paraId="0ADF1EDD"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Comisión Estatal para la Planeación y Programación de la Educación Media Superior en Estado de Oaxaca</w:t>
            </w:r>
          </w:p>
        </w:tc>
        <w:tc>
          <w:tcPr>
            <w:tcW w:w="4830" w:type="dxa"/>
            <w:vMerge/>
            <w:vAlign w:val="center"/>
            <w:hideMark/>
          </w:tcPr>
          <w:p w14:paraId="2CAFC03B" w14:textId="77777777" w:rsidR="00036380" w:rsidRPr="00AE36F0" w:rsidRDefault="00036380" w:rsidP="00036380">
            <w:pPr>
              <w:rPr>
                <w:rFonts w:ascii="Montserrat" w:eastAsia="Times New Roman" w:hAnsi="Montserrat" w:cs="Times New Roman"/>
                <w:lang w:val="es-MX"/>
              </w:rPr>
            </w:pPr>
          </w:p>
        </w:tc>
      </w:tr>
      <w:tr w:rsidR="00036380" w:rsidRPr="00AE36F0" w14:paraId="5D9D9A55" w14:textId="77777777" w:rsidTr="001536E6">
        <w:trPr>
          <w:trHeight w:val="242"/>
        </w:trPr>
        <w:tc>
          <w:tcPr>
            <w:tcW w:w="4210" w:type="dxa"/>
            <w:vAlign w:val="center"/>
            <w:hideMark/>
          </w:tcPr>
          <w:p w14:paraId="3D0889A0"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Universidad Autónoma Comunal</w:t>
            </w:r>
          </w:p>
        </w:tc>
        <w:tc>
          <w:tcPr>
            <w:tcW w:w="4830" w:type="dxa"/>
            <w:vAlign w:val="center"/>
            <w:hideMark/>
          </w:tcPr>
          <w:p w14:paraId="0B94917A" w14:textId="77777777" w:rsidR="00036380" w:rsidRPr="00AE36F0" w:rsidRDefault="00036380" w:rsidP="00036380">
            <w:pPr>
              <w:rPr>
                <w:rFonts w:ascii="Montserrat" w:eastAsia="Times New Roman" w:hAnsi="Montserrat" w:cs="Times New Roman"/>
                <w:lang w:val="es-MX"/>
              </w:rPr>
            </w:pPr>
            <w:r w:rsidRPr="00AE36F0">
              <w:rPr>
                <w:rFonts w:ascii="Montserrat" w:eastAsia="Times New Roman" w:hAnsi="Montserrat" w:cs="Times New Roman"/>
              </w:rPr>
              <w:t>Universidad Autónoma Comunal - OPD</w:t>
            </w:r>
          </w:p>
        </w:tc>
      </w:tr>
      <w:tr w:rsidR="00036380" w:rsidRPr="00AE36F0" w14:paraId="09BC7075" w14:textId="77777777" w:rsidTr="001536E6">
        <w:trPr>
          <w:trHeight w:val="475"/>
        </w:trPr>
        <w:tc>
          <w:tcPr>
            <w:tcW w:w="4210" w:type="dxa"/>
            <w:vAlign w:val="center"/>
            <w:hideMark/>
          </w:tcPr>
          <w:p w14:paraId="0236A4BF" w14:textId="77777777"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lastRenderedPageBreak/>
              <w:t>Jefatura de Gabinete</w:t>
            </w:r>
          </w:p>
        </w:tc>
        <w:tc>
          <w:tcPr>
            <w:tcW w:w="4830" w:type="dxa"/>
            <w:vAlign w:val="center"/>
            <w:hideMark/>
          </w:tcPr>
          <w:p w14:paraId="055ADC27" w14:textId="77777777"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Ninguna</w:t>
            </w:r>
          </w:p>
        </w:tc>
      </w:tr>
      <w:tr w:rsidR="00036380" w:rsidRPr="00AE36F0" w14:paraId="21FF9C9D" w14:textId="77777777" w:rsidTr="001536E6">
        <w:trPr>
          <w:trHeight w:val="475"/>
        </w:trPr>
        <w:tc>
          <w:tcPr>
            <w:tcW w:w="4210" w:type="dxa"/>
            <w:vAlign w:val="center"/>
          </w:tcPr>
          <w:p w14:paraId="31803FBD" w14:textId="1DFA0C43"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Secretaría Ejecutiva del Sistema Estatal de Combate a la Corrupción</w:t>
            </w:r>
          </w:p>
        </w:tc>
        <w:tc>
          <w:tcPr>
            <w:tcW w:w="4830" w:type="dxa"/>
            <w:vAlign w:val="center"/>
          </w:tcPr>
          <w:p w14:paraId="201A0A08" w14:textId="01506E37" w:rsidR="00036380" w:rsidRPr="00AE36F0" w:rsidRDefault="00036380" w:rsidP="00036380">
            <w:pPr>
              <w:rPr>
                <w:rFonts w:ascii="Montserrat" w:eastAsia="Times New Roman" w:hAnsi="Montserrat" w:cs="Times New Roman"/>
              </w:rPr>
            </w:pPr>
            <w:r w:rsidRPr="00AE36F0">
              <w:rPr>
                <w:rFonts w:ascii="Montserrat" w:eastAsia="Times New Roman" w:hAnsi="Montserrat" w:cs="Times New Roman"/>
              </w:rPr>
              <w:t>Ninguna</w:t>
            </w:r>
          </w:p>
        </w:tc>
      </w:tr>
    </w:tbl>
    <w:p w14:paraId="4D44D150" w14:textId="081DD6A2" w:rsidR="00E66438" w:rsidRPr="00AE36F0" w:rsidRDefault="00E66438" w:rsidP="00B0059B">
      <w:pPr>
        <w:tabs>
          <w:tab w:val="left" w:pos="7260"/>
        </w:tabs>
        <w:jc w:val="both"/>
        <w:rPr>
          <w:rFonts w:ascii="Montserrat" w:eastAsia="Times New Roman" w:hAnsi="Montserrat" w:cs="Arial"/>
        </w:rPr>
      </w:pPr>
    </w:p>
    <w:p w14:paraId="167B028F" w14:textId="2FE73E81" w:rsidR="00B0059B" w:rsidRPr="00AE36F0" w:rsidRDefault="00B0059B" w:rsidP="002D361E">
      <w:pPr>
        <w:rPr>
          <w:rFonts w:ascii="Montserrat" w:eastAsia="Times New Roman" w:hAnsi="Montserrat" w:cs="Arial"/>
        </w:rPr>
      </w:pPr>
    </w:p>
    <w:p w14:paraId="641ED5BC" w14:textId="77777777" w:rsidR="00B0059B" w:rsidRPr="00AE36F0" w:rsidRDefault="00B0059B" w:rsidP="00DA40B0">
      <w:pPr>
        <w:pStyle w:val="Prrafodelista"/>
        <w:widowControl w:val="0"/>
        <w:numPr>
          <w:ilvl w:val="0"/>
          <w:numId w:val="6"/>
        </w:numPr>
        <w:ind w:left="426" w:hanging="426"/>
        <w:jc w:val="both"/>
        <w:rPr>
          <w:rFonts w:ascii="Montserrat" w:hAnsi="Montserrat"/>
          <w:b/>
          <w:sz w:val="24"/>
          <w:szCs w:val="24"/>
        </w:rPr>
      </w:pPr>
      <w:r w:rsidRPr="00AE36F0">
        <w:rPr>
          <w:rFonts w:ascii="Montserrat" w:hAnsi="Montserrat"/>
          <w:b/>
          <w:sz w:val="24"/>
          <w:szCs w:val="24"/>
        </w:rPr>
        <w:t>Bases para la Preparación de los Estados Financieros</w:t>
      </w:r>
    </w:p>
    <w:p w14:paraId="0DFA67D0" w14:textId="77777777" w:rsidR="00B0059B" w:rsidRPr="00AE36F0" w:rsidRDefault="00B0059B" w:rsidP="00B0059B">
      <w:pPr>
        <w:pStyle w:val="Prrafodelista"/>
        <w:widowControl w:val="0"/>
        <w:ind w:left="426"/>
        <w:jc w:val="both"/>
        <w:rPr>
          <w:rFonts w:ascii="Montserrat" w:hAnsi="Montserrat"/>
          <w:b/>
          <w:sz w:val="24"/>
          <w:szCs w:val="24"/>
        </w:rPr>
      </w:pPr>
    </w:p>
    <w:p w14:paraId="5A6D5A39" w14:textId="77777777"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 xml:space="preserve">Normatividad emitida por el CONAC y las disposiciones legales aplicables </w:t>
      </w:r>
    </w:p>
    <w:p w14:paraId="302B175F" w14:textId="668EFC9B"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Estados Financieros fueron elaborados de conformidad a lo establecido en la Ley General de Contabilidad Gubernamental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AE36F0" w:rsidRDefault="00B0059B" w:rsidP="00B0059B">
      <w:pPr>
        <w:tabs>
          <w:tab w:val="left" w:pos="426"/>
          <w:tab w:val="left" w:pos="7260"/>
        </w:tabs>
        <w:jc w:val="both"/>
        <w:rPr>
          <w:rFonts w:ascii="Montserrat" w:eastAsia="Times New Roman" w:hAnsi="Montserrat" w:cs="Arial"/>
        </w:rPr>
      </w:pPr>
    </w:p>
    <w:p w14:paraId="42C92998" w14:textId="77777777"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5612F8A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Secretaría de Finanzas, en su carácter de</w:t>
      </w:r>
      <w:r w:rsidR="00E31E8D" w:rsidRPr="00AE36F0">
        <w:rPr>
          <w:rFonts w:ascii="Montserrat" w:eastAsia="Times New Roman" w:hAnsi="Montserrat" w:cs="Arial"/>
        </w:rPr>
        <w:t xml:space="preserve"> entidad</w:t>
      </w:r>
      <w:r w:rsidRPr="00AE36F0">
        <w:rPr>
          <w:rFonts w:ascii="Montserrat" w:eastAsia="Times New Roman" w:hAnsi="Montserrat" w:cs="Arial"/>
        </w:rPr>
        <w:t xml:space="preserve"> normativa, integra y consolida la información contable de cada una de las Unidades Responsables de registrar las operaciones que afectan el patrimonio del ente público, así mismo, la Secretaría de Finanzas, por medio del Consejo </w:t>
      </w:r>
      <w:r w:rsidR="0078682B" w:rsidRPr="00AE36F0">
        <w:rPr>
          <w:rFonts w:ascii="Montserrat" w:eastAsia="Times New Roman" w:hAnsi="Montserrat" w:cs="Arial"/>
        </w:rPr>
        <w:t>de Armonización Contable d</w:t>
      </w:r>
      <w:r w:rsidRPr="00AE36F0">
        <w:rPr>
          <w:rFonts w:ascii="Montserrat" w:eastAsia="Times New Roman" w:hAnsi="Montserrat" w:cs="Arial"/>
        </w:rPr>
        <w:t>e</w:t>
      </w:r>
      <w:r w:rsidR="003D5E88" w:rsidRPr="00AE36F0">
        <w:rPr>
          <w:rFonts w:ascii="Montserrat" w:eastAsia="Times New Roman" w:hAnsi="Montserrat" w:cs="Arial"/>
        </w:rPr>
        <w:t xml:space="preserve">l Estado de </w:t>
      </w:r>
      <w:r w:rsidRPr="00AE36F0">
        <w:rPr>
          <w:rFonts w:ascii="Montserrat" w:eastAsia="Times New Roman" w:hAnsi="Montserrat" w:cs="Arial"/>
        </w:rPr>
        <w:t>Oaxaca (CAC</w:t>
      </w:r>
      <w:r w:rsidR="0078682B" w:rsidRPr="00AE36F0">
        <w:rPr>
          <w:rFonts w:ascii="Montserrat" w:eastAsia="Times New Roman" w:hAnsi="Montserrat" w:cs="Arial"/>
        </w:rPr>
        <w:t>E</w:t>
      </w:r>
      <w:r w:rsidRPr="00AE36F0">
        <w:rPr>
          <w:rFonts w:ascii="Montserrat" w:eastAsia="Times New Roman" w:hAnsi="Montserrat" w:cs="Arial"/>
        </w:rPr>
        <w:t>O) difunde en su página digital los documentos emitidos por el CONAC, mismos que se encuentran implementados por parte del Poder Ejecutivo, siendo los siguientes:</w:t>
      </w:r>
    </w:p>
    <w:p w14:paraId="49FD5A71" w14:textId="77777777" w:rsidR="00B0059B" w:rsidRPr="00AE36F0" w:rsidRDefault="00B0059B" w:rsidP="00B0059B">
      <w:pPr>
        <w:tabs>
          <w:tab w:val="left" w:pos="7260"/>
        </w:tabs>
        <w:jc w:val="both"/>
        <w:rPr>
          <w:rFonts w:ascii="Montserrat" w:eastAsia="Times New Roman" w:hAnsi="Montserrat" w:cs="Arial"/>
        </w:rPr>
      </w:pPr>
    </w:p>
    <w:p w14:paraId="17836BC2"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Marco Conceptual de Contabilidad Gubernamental.</w:t>
      </w:r>
    </w:p>
    <w:p w14:paraId="27C9A8A0"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Postulados básicos de Contabilidad Gubernamental.</w:t>
      </w:r>
    </w:p>
    <w:p w14:paraId="7E56CFF9"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Normas y Metodologías para la Determinación de los Momentos Contables de los Ingresos.</w:t>
      </w:r>
    </w:p>
    <w:p w14:paraId="2CB36E74"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Clasificador por Objeto del Gasto (Capítulo, Concepto g Partida Genérica).</w:t>
      </w:r>
    </w:p>
    <w:p w14:paraId="1CDFCC20"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Clasificador por Tipo de Gasto.</w:t>
      </w:r>
    </w:p>
    <w:p w14:paraId="50A6A943"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Funcional del Gasto.</w:t>
      </w:r>
    </w:p>
    <w:p w14:paraId="24B84DAD"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Adecuaciones al Clasificador por Objeto de Gasto.</w:t>
      </w:r>
    </w:p>
    <w:p w14:paraId="4D88B39F"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Manual de Contabilidad Gubernamental.</w:t>
      </w:r>
    </w:p>
    <w:p w14:paraId="105FC96F"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Principales Reglas de Registro y Valoración del Patrimonio (Elementos Generales)</w:t>
      </w:r>
    </w:p>
    <w:p w14:paraId="45BF65AA"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Funcional del Gasto (Finalidad, Función y Subfunción)</w:t>
      </w:r>
    </w:p>
    <w:p w14:paraId="5AAC0964"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Administrativa,</w:t>
      </w:r>
    </w:p>
    <w:p w14:paraId="030A9702"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para la elaboración del Catálogo de Bienes que permita la interrelación automática con el Clasificador por Objeto del Gasto y la Lista de Cuentas.</w:t>
      </w:r>
    </w:p>
    <w:p w14:paraId="348B63AA"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Lineamientos dirigidos a asegurar que el Sistema de Contabilidad Gubernamental facilite el Registro y Control de los inventarios de los Bienes Muebles e Inmuebles de los Entes Públicos.</w:t>
      </w:r>
    </w:p>
    <w:p w14:paraId="627B4D5E"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Reglas Específicas del Registro y Valoración del Patrimonio.</w:t>
      </w:r>
    </w:p>
    <w:p w14:paraId="2F53FC78"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Parámetros de Estimación de Vida Útil.</w:t>
      </w:r>
    </w:p>
    <w:p w14:paraId="36FFD017"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Clasificador por Fuentes de Financiamiento.</w:t>
      </w:r>
    </w:p>
    <w:p w14:paraId="180E0C31"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 xml:space="preserve">Norma para establecer la estructura del formato de la relación de bienes que compone el patrimonio del ente público. </w:t>
      </w:r>
    </w:p>
    <w:p w14:paraId="20D6811D" w14:textId="77777777" w:rsidR="00B0059B" w:rsidRPr="00AE36F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AE36F0">
        <w:rPr>
          <w:rFonts w:ascii="Montserrat" w:eastAsia="Times New Roman" w:hAnsi="Montserrat" w:cs="Arial"/>
          <w:sz w:val="24"/>
          <w:szCs w:val="24"/>
        </w:rPr>
        <w:t>Clasificación Programática.</w:t>
      </w:r>
    </w:p>
    <w:p w14:paraId="6023FD3D" w14:textId="77777777" w:rsidR="00B0059B" w:rsidRPr="00AE36F0" w:rsidRDefault="00B0059B" w:rsidP="00B0059B">
      <w:pPr>
        <w:tabs>
          <w:tab w:val="left" w:pos="7260"/>
        </w:tabs>
        <w:jc w:val="both"/>
        <w:rPr>
          <w:rFonts w:ascii="Montserrat" w:eastAsia="Times New Roman" w:hAnsi="Montserrat" w:cs="Arial"/>
        </w:rPr>
      </w:pPr>
    </w:p>
    <w:p w14:paraId="5FB706D8" w14:textId="77777777" w:rsidR="00B0059B" w:rsidRPr="00AE36F0" w:rsidRDefault="00B0059B" w:rsidP="00D55BB4">
      <w:pPr>
        <w:pStyle w:val="Prrafodelista"/>
        <w:keepNext/>
        <w:widowControl w:val="0"/>
        <w:numPr>
          <w:ilvl w:val="0"/>
          <w:numId w:val="13"/>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Postulados Básicos</w:t>
      </w:r>
    </w:p>
    <w:p w14:paraId="0B8E65B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AE36F0" w:rsidRDefault="00E56EF6" w:rsidP="00B0059B">
      <w:pPr>
        <w:tabs>
          <w:tab w:val="left" w:pos="7260"/>
        </w:tabs>
        <w:jc w:val="both"/>
        <w:rPr>
          <w:rFonts w:ascii="Montserrat" w:eastAsia="Times New Roman" w:hAnsi="Montserrat" w:cs="Arial"/>
        </w:rPr>
      </w:pPr>
    </w:p>
    <w:p w14:paraId="77E8E4C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AE36F0"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AE36F0" w:rsidRDefault="00B0059B" w:rsidP="00921D5B">
      <w:pPr>
        <w:pStyle w:val="Prrafodelista"/>
        <w:keepNext/>
        <w:numPr>
          <w:ilvl w:val="0"/>
          <w:numId w:val="8"/>
        </w:numPr>
        <w:tabs>
          <w:tab w:val="left" w:pos="7260"/>
        </w:tabs>
        <w:ind w:left="992" w:hanging="635"/>
        <w:jc w:val="both"/>
        <w:rPr>
          <w:rFonts w:ascii="Montserrat" w:eastAsia="Times New Roman" w:hAnsi="Montserrat" w:cs="Arial"/>
          <w:sz w:val="24"/>
          <w:szCs w:val="24"/>
        </w:rPr>
      </w:pPr>
      <w:r w:rsidRPr="00AE36F0">
        <w:rPr>
          <w:rFonts w:ascii="Montserrat" w:eastAsia="Times New Roman" w:hAnsi="Montserrat" w:cs="Arial"/>
          <w:sz w:val="24"/>
          <w:szCs w:val="24"/>
        </w:rPr>
        <w:lastRenderedPageBreak/>
        <w:t>Sustancia Económica</w:t>
      </w:r>
    </w:p>
    <w:p w14:paraId="671BE2A6"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Entes Públicos</w:t>
      </w:r>
    </w:p>
    <w:p w14:paraId="33D2EED2"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Existencia Permanente</w:t>
      </w:r>
    </w:p>
    <w:p w14:paraId="3E20B313"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Revelación Suficiente</w:t>
      </w:r>
    </w:p>
    <w:p w14:paraId="0782B001"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Importancia Relativa</w:t>
      </w:r>
    </w:p>
    <w:p w14:paraId="3BA6D082"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Registro e Integración Presupuestaria</w:t>
      </w:r>
      <w:r w:rsidRPr="00AE36F0">
        <w:rPr>
          <w:rFonts w:ascii="Montserrat" w:eastAsia="Times New Roman" w:hAnsi="Montserrat" w:cs="Arial"/>
          <w:sz w:val="24"/>
          <w:szCs w:val="24"/>
        </w:rPr>
        <w:tab/>
      </w:r>
    </w:p>
    <w:p w14:paraId="0999E345"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Consolidación de la Información Financiera</w:t>
      </w:r>
    </w:p>
    <w:p w14:paraId="6FB091F3"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Devengo Contable</w:t>
      </w:r>
    </w:p>
    <w:p w14:paraId="63DC06D8"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Valuación</w:t>
      </w:r>
    </w:p>
    <w:p w14:paraId="0AFF7825"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Dualidad Económica</w:t>
      </w:r>
    </w:p>
    <w:p w14:paraId="05B0D798" w14:textId="77777777" w:rsidR="00B0059B" w:rsidRPr="00AE36F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AE36F0">
        <w:rPr>
          <w:rFonts w:ascii="Montserrat" w:eastAsia="Times New Roman" w:hAnsi="Montserrat" w:cs="Arial"/>
          <w:sz w:val="24"/>
          <w:szCs w:val="24"/>
        </w:rPr>
        <w:t>Consistencia</w:t>
      </w:r>
    </w:p>
    <w:p w14:paraId="6C4BA5E0" w14:textId="77777777" w:rsidR="00B0059B" w:rsidRPr="00AE36F0"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Normatividad supletoria:</w:t>
      </w:r>
    </w:p>
    <w:p w14:paraId="5FE8D82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Se informa que, para la emisión de los Estados Financieros, no se ha recurrido a normatividad supletoria.</w:t>
      </w:r>
    </w:p>
    <w:p w14:paraId="02B9A39F" w14:textId="77777777" w:rsidR="00B0059B" w:rsidRPr="00AE36F0" w:rsidRDefault="00B0059B" w:rsidP="00B0059B">
      <w:pPr>
        <w:tabs>
          <w:tab w:val="left" w:pos="7260"/>
        </w:tabs>
        <w:jc w:val="both"/>
        <w:rPr>
          <w:rFonts w:ascii="Montserrat" w:eastAsia="Times New Roman" w:hAnsi="Montserrat" w:cs="Arial"/>
        </w:rPr>
      </w:pPr>
    </w:p>
    <w:p w14:paraId="26C6AE81" w14:textId="49E3A1AD" w:rsidR="00B0059B" w:rsidRPr="00AE36F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 xml:space="preserve">Entidades que por primera vez estén implementando </w:t>
      </w:r>
      <w:proofErr w:type="gramStart"/>
      <w:r w:rsidRPr="00AE36F0">
        <w:rPr>
          <w:rFonts w:ascii="Montserrat" w:eastAsia="Times New Roman" w:hAnsi="Montserrat" w:cs="Arial"/>
          <w:sz w:val="24"/>
          <w:szCs w:val="24"/>
          <w:lang w:val="es-ES" w:eastAsia="es-MX"/>
        </w:rPr>
        <w:t>la base devengad</w:t>
      </w:r>
      <w:r w:rsidR="0099356A" w:rsidRPr="00AE36F0">
        <w:rPr>
          <w:rFonts w:ascii="Montserrat" w:eastAsia="Times New Roman" w:hAnsi="Montserrat" w:cs="Arial"/>
          <w:sz w:val="24"/>
          <w:szCs w:val="24"/>
          <w:lang w:val="es-ES" w:eastAsia="es-MX"/>
        </w:rPr>
        <w:t>o</w:t>
      </w:r>
      <w:proofErr w:type="gramEnd"/>
      <w:r w:rsidRPr="00AE36F0">
        <w:rPr>
          <w:rFonts w:ascii="Montserrat" w:eastAsia="Times New Roman" w:hAnsi="Montserrat" w:cs="Arial"/>
          <w:sz w:val="24"/>
          <w:szCs w:val="24"/>
          <w:lang w:val="es-ES" w:eastAsia="es-MX"/>
        </w:rPr>
        <w:t>:</w:t>
      </w:r>
    </w:p>
    <w:p w14:paraId="2F2156F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AE36F0" w:rsidRDefault="00B0059B" w:rsidP="00B0059B">
      <w:pPr>
        <w:tabs>
          <w:tab w:val="left" w:pos="7260"/>
        </w:tabs>
        <w:jc w:val="both"/>
        <w:rPr>
          <w:rFonts w:ascii="Montserrat" w:eastAsia="Times New Roman" w:hAnsi="Montserrat" w:cs="Arial"/>
        </w:rPr>
      </w:pPr>
    </w:p>
    <w:p w14:paraId="53CE4882" w14:textId="77777777" w:rsidR="00B0059B" w:rsidRPr="00AE36F0" w:rsidRDefault="00B0059B" w:rsidP="00DA40B0">
      <w:pPr>
        <w:pStyle w:val="Prrafodelista"/>
        <w:widowControl w:val="0"/>
        <w:numPr>
          <w:ilvl w:val="0"/>
          <w:numId w:val="38"/>
        </w:numPr>
        <w:jc w:val="both"/>
        <w:rPr>
          <w:rFonts w:ascii="Montserrat" w:hAnsi="Montserrat"/>
          <w:b/>
          <w:sz w:val="24"/>
          <w:szCs w:val="24"/>
        </w:rPr>
      </w:pPr>
      <w:r w:rsidRPr="00AE36F0">
        <w:rPr>
          <w:rFonts w:ascii="Montserrat" w:hAnsi="Montserrat"/>
          <w:b/>
          <w:sz w:val="24"/>
          <w:szCs w:val="24"/>
        </w:rPr>
        <w:t>Políticas de Contabilidad Significativas.</w:t>
      </w:r>
    </w:p>
    <w:p w14:paraId="2BC07A72" w14:textId="07112543"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Estados de Situación Financiera al 3</w:t>
      </w:r>
      <w:r w:rsidR="00E31E8D" w:rsidRPr="00AE36F0">
        <w:rPr>
          <w:rFonts w:ascii="Montserrat" w:eastAsia="Times New Roman" w:hAnsi="Montserrat" w:cs="Arial"/>
        </w:rPr>
        <w:t xml:space="preserve">1 de diciembre </w:t>
      </w:r>
      <w:r w:rsidRPr="00AE36F0">
        <w:rPr>
          <w:rFonts w:ascii="Montserrat" w:eastAsia="Times New Roman" w:hAnsi="Montserrat" w:cs="Arial"/>
        </w:rPr>
        <w:t>de 202</w:t>
      </w:r>
      <w:r w:rsidR="002D361E" w:rsidRPr="00AE36F0">
        <w:rPr>
          <w:rFonts w:ascii="Montserrat" w:eastAsia="Times New Roman" w:hAnsi="Montserrat" w:cs="Arial"/>
        </w:rPr>
        <w:t>5</w:t>
      </w:r>
      <w:r w:rsidRPr="00AE36F0">
        <w:rPr>
          <w:rFonts w:ascii="Montserrat" w:eastAsia="Times New Roman" w:hAnsi="Montserrat" w:cs="Arial"/>
        </w:rPr>
        <w:t xml:space="preserve">, el Estado de Actividades, el Estado de Variaciones en la Hacienda Pública y el Estado de Flujo de Efectivo, correspondientes al periodo del 01 de enero al </w:t>
      </w:r>
      <w:r w:rsidR="00246EA4" w:rsidRPr="00AE36F0">
        <w:rPr>
          <w:rFonts w:ascii="Montserrat" w:eastAsia="Times New Roman" w:hAnsi="Montserrat" w:cs="Arial"/>
        </w:rPr>
        <w:t>3</w:t>
      </w:r>
      <w:r w:rsidR="00E31E8D" w:rsidRPr="00AE36F0">
        <w:rPr>
          <w:rFonts w:ascii="Montserrat" w:eastAsia="Times New Roman" w:hAnsi="Montserrat" w:cs="Arial"/>
        </w:rPr>
        <w:t>1</w:t>
      </w:r>
      <w:r w:rsidR="00246EA4" w:rsidRPr="00AE36F0">
        <w:rPr>
          <w:rFonts w:ascii="Montserrat" w:eastAsia="Times New Roman" w:hAnsi="Montserrat" w:cs="Arial"/>
        </w:rPr>
        <w:t xml:space="preserve"> de </w:t>
      </w:r>
      <w:r w:rsidR="00E31E8D" w:rsidRPr="00AE36F0">
        <w:rPr>
          <w:rFonts w:ascii="Montserrat" w:eastAsia="Times New Roman" w:hAnsi="Montserrat" w:cs="Arial"/>
        </w:rPr>
        <w:t>dici</w:t>
      </w:r>
      <w:r w:rsidR="00036AD4" w:rsidRPr="00AE36F0">
        <w:rPr>
          <w:rFonts w:ascii="Montserrat" w:eastAsia="Times New Roman" w:hAnsi="Montserrat" w:cs="Arial"/>
        </w:rPr>
        <w:t>embre</w:t>
      </w:r>
      <w:r w:rsidRPr="00AE36F0">
        <w:rPr>
          <w:rFonts w:ascii="Montserrat" w:eastAsia="Times New Roman" w:hAnsi="Montserrat" w:cs="Arial"/>
        </w:rPr>
        <w:t xml:space="preserve"> de 202</w:t>
      </w:r>
      <w:r w:rsidR="002D361E" w:rsidRPr="00AE36F0">
        <w:rPr>
          <w:rFonts w:ascii="Montserrat" w:eastAsia="Times New Roman" w:hAnsi="Montserrat" w:cs="Arial"/>
        </w:rPr>
        <w:t>5</w:t>
      </w:r>
      <w:r w:rsidRPr="00AE36F0">
        <w:rPr>
          <w:rFonts w:ascii="Montserrat" w:eastAsia="Times New Roman" w:hAnsi="Montserrat" w:cs="Arial"/>
        </w:rPr>
        <w:t>, fueron preparados y emitidos por dicho periodo, con la finalidad de dar cumplimiento a la disposición legal contenida en el artículo 81 de la Ley Estatal de Presupuesto y Responsabilidad Hacendaria.</w:t>
      </w:r>
    </w:p>
    <w:p w14:paraId="12262B61" w14:textId="77777777" w:rsidR="00B0059B" w:rsidRPr="00AE36F0" w:rsidRDefault="00B0059B" w:rsidP="00B0059B">
      <w:pPr>
        <w:tabs>
          <w:tab w:val="left" w:pos="7260"/>
        </w:tabs>
        <w:jc w:val="both"/>
        <w:rPr>
          <w:rFonts w:ascii="Montserrat" w:eastAsia="Times New Roman" w:hAnsi="Montserrat" w:cs="Arial"/>
        </w:rPr>
      </w:pPr>
    </w:p>
    <w:p w14:paraId="5D5AD20C"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Actualización</w:t>
      </w:r>
    </w:p>
    <w:p w14:paraId="0038FDD7" w14:textId="05787E6C"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Conforme a los lineamientos de la NIF B-IO "Efectos de la Inflación", la economía mexicana se encuentra en un entorno no inflacionario, al </w:t>
      </w:r>
      <w:r w:rsidRPr="00AE36F0">
        <w:rPr>
          <w:rFonts w:ascii="Montserrat" w:eastAsia="Times New Roman" w:hAnsi="Montserrat" w:cs="Arial"/>
        </w:rPr>
        <w:lastRenderedPageBreak/>
        <w:t xml:space="preserve">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w:t>
      </w:r>
      <w:r w:rsidR="00246EA4" w:rsidRPr="00AE36F0">
        <w:rPr>
          <w:rFonts w:ascii="Montserrat" w:eastAsia="Times New Roman" w:hAnsi="Montserrat" w:cs="Arial"/>
        </w:rPr>
        <w:t>3</w:t>
      </w:r>
      <w:r w:rsidR="00F97400" w:rsidRPr="00AE36F0">
        <w:rPr>
          <w:rFonts w:ascii="Montserrat" w:eastAsia="Times New Roman" w:hAnsi="Montserrat" w:cs="Arial"/>
        </w:rPr>
        <w:t>1</w:t>
      </w:r>
      <w:r w:rsidR="00246EA4" w:rsidRPr="00AE36F0">
        <w:rPr>
          <w:rFonts w:ascii="Montserrat" w:eastAsia="Times New Roman" w:hAnsi="Montserrat" w:cs="Arial"/>
        </w:rPr>
        <w:t xml:space="preserve"> de </w:t>
      </w:r>
      <w:r w:rsidR="00F97400" w:rsidRPr="00AE36F0">
        <w:rPr>
          <w:rFonts w:ascii="Montserrat" w:eastAsia="Times New Roman" w:hAnsi="Montserrat" w:cs="Arial"/>
        </w:rPr>
        <w:t>diciembre</w:t>
      </w:r>
      <w:r w:rsidR="00246EA4" w:rsidRPr="00AE36F0">
        <w:rPr>
          <w:rFonts w:ascii="Montserrat" w:eastAsia="Times New Roman" w:hAnsi="Montserrat" w:cs="Arial"/>
        </w:rPr>
        <w:t xml:space="preserve"> </w:t>
      </w:r>
      <w:r w:rsidRPr="00AE36F0">
        <w:rPr>
          <w:rFonts w:ascii="Montserrat" w:eastAsia="Times New Roman" w:hAnsi="Montserrat" w:cs="Arial"/>
        </w:rPr>
        <w:t>de 202</w:t>
      </w:r>
      <w:r w:rsidR="002D361E" w:rsidRPr="00AE36F0">
        <w:rPr>
          <w:rFonts w:ascii="Montserrat" w:eastAsia="Times New Roman" w:hAnsi="Montserrat" w:cs="Arial"/>
        </w:rPr>
        <w:t>5</w:t>
      </w:r>
      <w:r w:rsidRPr="00AE36F0">
        <w:rPr>
          <w:rFonts w:ascii="Montserrat" w:eastAsia="Times New Roman" w:hAnsi="Montserrat" w:cs="Arial"/>
        </w:rPr>
        <w:t xml:space="preserve"> de los estados financieros adjuntos, se presentan en pesos históricos.</w:t>
      </w:r>
    </w:p>
    <w:p w14:paraId="1A1760CE" w14:textId="77777777" w:rsidR="00E859AF" w:rsidRPr="00AE36F0" w:rsidRDefault="00E859AF" w:rsidP="00E859AF">
      <w:pPr>
        <w:pStyle w:val="Prrafodelista"/>
        <w:widowControl w:val="0"/>
        <w:jc w:val="both"/>
        <w:rPr>
          <w:rFonts w:ascii="Montserrat" w:eastAsia="Times New Roman" w:hAnsi="Montserrat" w:cs="Arial"/>
          <w:sz w:val="24"/>
          <w:szCs w:val="24"/>
          <w:lang w:val="es-ES" w:eastAsia="es-MX"/>
        </w:rPr>
      </w:pPr>
    </w:p>
    <w:p w14:paraId="26FB1405" w14:textId="5A4166F3"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Operaciones en el Extranjero</w:t>
      </w:r>
    </w:p>
    <w:p w14:paraId="093BD7E4" w14:textId="6D64B715"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El Gobierno del Estado de Oaxaca al </w:t>
      </w:r>
      <w:r w:rsidR="002D361E" w:rsidRPr="00AE36F0">
        <w:rPr>
          <w:rFonts w:ascii="Montserrat" w:eastAsia="Times New Roman" w:hAnsi="Montserrat" w:cs="Arial"/>
        </w:rPr>
        <w:t>3</w:t>
      </w:r>
      <w:r w:rsidR="00F97400" w:rsidRPr="00AE36F0">
        <w:rPr>
          <w:rFonts w:ascii="Montserrat" w:eastAsia="Times New Roman" w:hAnsi="Montserrat" w:cs="Arial"/>
        </w:rPr>
        <w:t>1</w:t>
      </w:r>
      <w:r w:rsidR="002D361E" w:rsidRPr="00AE36F0">
        <w:rPr>
          <w:rFonts w:ascii="Montserrat" w:eastAsia="Times New Roman" w:hAnsi="Montserrat" w:cs="Arial"/>
        </w:rPr>
        <w:t xml:space="preserve"> de </w:t>
      </w:r>
      <w:r w:rsidR="00F97400" w:rsidRPr="00AE36F0">
        <w:rPr>
          <w:rFonts w:ascii="Montserrat" w:eastAsia="Times New Roman" w:hAnsi="Montserrat" w:cs="Arial"/>
        </w:rPr>
        <w:t>diciembre</w:t>
      </w:r>
      <w:r w:rsidR="002D361E" w:rsidRPr="00AE36F0">
        <w:rPr>
          <w:rFonts w:ascii="Montserrat" w:eastAsia="Times New Roman" w:hAnsi="Montserrat" w:cs="Arial"/>
        </w:rPr>
        <w:t xml:space="preserve"> de 2025 </w:t>
      </w:r>
      <w:r w:rsidRPr="00AE36F0">
        <w:rPr>
          <w:rFonts w:ascii="Montserrat" w:eastAsia="Times New Roman" w:hAnsi="Montserrat" w:cs="Arial"/>
        </w:rPr>
        <w:t>no cuenta con activos o recursos financieros en moneda extranjera.</w:t>
      </w:r>
    </w:p>
    <w:p w14:paraId="57D5F1A9" w14:textId="77777777" w:rsidR="00B0059B" w:rsidRPr="00AE36F0" w:rsidRDefault="00B0059B" w:rsidP="00B0059B">
      <w:pPr>
        <w:tabs>
          <w:tab w:val="left" w:pos="7260"/>
        </w:tabs>
        <w:jc w:val="both"/>
        <w:rPr>
          <w:rFonts w:ascii="Montserrat" w:eastAsia="Times New Roman" w:hAnsi="Montserrat" w:cs="Arial"/>
        </w:rPr>
      </w:pPr>
    </w:p>
    <w:p w14:paraId="45A4C433"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Costo de Ventas</w:t>
      </w:r>
    </w:p>
    <w:p w14:paraId="5D07B04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AE36F0" w:rsidRDefault="00B0059B" w:rsidP="00B0059B">
      <w:pPr>
        <w:tabs>
          <w:tab w:val="left" w:pos="7260"/>
        </w:tabs>
        <w:jc w:val="both"/>
        <w:rPr>
          <w:rFonts w:ascii="Montserrat" w:eastAsia="Times New Roman" w:hAnsi="Montserrat" w:cs="Arial"/>
        </w:rPr>
      </w:pPr>
    </w:p>
    <w:p w14:paraId="69FD69BD"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Patrimonio</w:t>
      </w:r>
    </w:p>
    <w:p w14:paraId="39CE61C2" w14:textId="285FD031"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De conformidad con la Ley General de Contabilidad Gubernamental y los lineamientos emitidos por el Consejo Nacional de Armonización Contable en las reglas de registro y valoración del patrimonio en el punto III definiciones del activo, pasivo, hacienda pública/patrimonio, las aportaciones, las donaciones de capital, los ahorros/desahorros acumulados se expresan a su costo histórico.</w:t>
      </w:r>
    </w:p>
    <w:p w14:paraId="3D89311C" w14:textId="77777777" w:rsidR="00B0059B" w:rsidRPr="00AE36F0" w:rsidRDefault="00B0059B" w:rsidP="00B0059B">
      <w:pPr>
        <w:tabs>
          <w:tab w:val="left" w:pos="7260"/>
        </w:tabs>
        <w:jc w:val="both"/>
        <w:rPr>
          <w:rFonts w:ascii="Montserrat" w:eastAsia="Times New Roman" w:hAnsi="Montserrat" w:cs="Arial"/>
        </w:rPr>
      </w:pPr>
    </w:p>
    <w:p w14:paraId="532DCCA6" w14:textId="77777777" w:rsidR="00B0059B" w:rsidRPr="00AE36F0" w:rsidRDefault="00B0059B" w:rsidP="00D55BB4">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Beneficios a Empleados</w:t>
      </w:r>
    </w:p>
    <w:p w14:paraId="1F10CF1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AE36F0" w:rsidRDefault="00B0059B" w:rsidP="00B0059B">
      <w:pPr>
        <w:tabs>
          <w:tab w:val="left" w:pos="7260"/>
        </w:tabs>
        <w:jc w:val="both"/>
        <w:rPr>
          <w:rFonts w:ascii="Montserrat" w:eastAsia="Times New Roman" w:hAnsi="Montserrat" w:cs="Arial"/>
        </w:rPr>
      </w:pPr>
    </w:p>
    <w:p w14:paraId="28E61F3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AE36F0" w:rsidRDefault="00B0059B" w:rsidP="00B0059B">
      <w:pPr>
        <w:tabs>
          <w:tab w:val="left" w:pos="7260"/>
        </w:tabs>
        <w:jc w:val="both"/>
        <w:rPr>
          <w:rFonts w:ascii="Montserrat" w:eastAsia="Times New Roman" w:hAnsi="Montserrat" w:cs="Arial"/>
        </w:rPr>
      </w:pPr>
    </w:p>
    <w:p w14:paraId="234CF139" w14:textId="77777777" w:rsidR="00B0059B" w:rsidRPr="00AE36F0" w:rsidRDefault="00B0059B" w:rsidP="001B6D22">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lastRenderedPageBreak/>
        <w:t>Provisiones</w:t>
      </w:r>
    </w:p>
    <w:p w14:paraId="59CED00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se tienen identificados conceptos o hechos de los cuales sea necesario el registro de provisiones.</w:t>
      </w:r>
    </w:p>
    <w:p w14:paraId="6E107356" w14:textId="77777777" w:rsidR="00B0059B" w:rsidRPr="00AE36F0" w:rsidRDefault="00B0059B" w:rsidP="00B0059B">
      <w:pPr>
        <w:tabs>
          <w:tab w:val="left" w:pos="7260"/>
        </w:tabs>
        <w:jc w:val="both"/>
        <w:rPr>
          <w:rFonts w:ascii="Montserrat" w:eastAsia="Times New Roman" w:hAnsi="Montserrat" w:cs="Arial"/>
        </w:rPr>
      </w:pPr>
    </w:p>
    <w:p w14:paraId="0825AAAC"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Reservas</w:t>
      </w:r>
    </w:p>
    <w:p w14:paraId="281148D9" w14:textId="18CD229E" w:rsidR="0099356A"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se tienen identificados conceptos o hechos de los cuales sea necesario el registro de reservas.</w:t>
      </w:r>
    </w:p>
    <w:p w14:paraId="520F3EFF" w14:textId="77777777" w:rsidR="00E859AF" w:rsidRPr="00AE36F0" w:rsidRDefault="00E859AF" w:rsidP="00B0059B">
      <w:pPr>
        <w:tabs>
          <w:tab w:val="left" w:pos="7260"/>
        </w:tabs>
        <w:jc w:val="both"/>
        <w:rPr>
          <w:rFonts w:ascii="Montserrat" w:eastAsia="Times New Roman" w:hAnsi="Montserrat" w:cs="Arial"/>
        </w:rPr>
      </w:pPr>
    </w:p>
    <w:p w14:paraId="267A6438"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Cambio en Políticas Contables</w:t>
      </w:r>
    </w:p>
    <w:p w14:paraId="40637A48"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existieron cambios en políticas contables que generaran un efecto relevante en la información financiera.</w:t>
      </w:r>
    </w:p>
    <w:p w14:paraId="4356F000" w14:textId="77777777" w:rsidR="00B0059B" w:rsidRPr="00AE36F0" w:rsidRDefault="00B0059B" w:rsidP="00B0059B">
      <w:pPr>
        <w:tabs>
          <w:tab w:val="left" w:pos="7260"/>
        </w:tabs>
        <w:jc w:val="both"/>
        <w:rPr>
          <w:rFonts w:ascii="Montserrat" w:eastAsia="Times New Roman" w:hAnsi="Montserrat" w:cs="Arial"/>
        </w:rPr>
      </w:pPr>
    </w:p>
    <w:p w14:paraId="794213A7" w14:textId="77777777" w:rsidR="00B0059B" w:rsidRPr="00AE36F0" w:rsidRDefault="00B0059B" w:rsidP="002D361E">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Reclasificaciones</w:t>
      </w:r>
    </w:p>
    <w:p w14:paraId="76F8DDD5" w14:textId="0A59A406"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En la Información financiera, </w:t>
      </w:r>
      <w:r w:rsidR="00A7045B" w:rsidRPr="00AE36F0">
        <w:rPr>
          <w:rFonts w:ascii="Montserrat" w:eastAsia="Times New Roman" w:hAnsi="Montserrat" w:cs="Arial"/>
        </w:rPr>
        <w:t>a la fecha del presente trimestre,</w:t>
      </w:r>
      <w:r w:rsidRPr="00AE36F0">
        <w:rPr>
          <w:rFonts w:ascii="Montserrat" w:eastAsia="Times New Roman" w:hAnsi="Montserrat" w:cs="Arial"/>
        </w:rPr>
        <w:t xml:space="preserve"> no tienen registros de movimientos entre cuentas por efectos de cambios en los tipos de operaciones.</w:t>
      </w:r>
    </w:p>
    <w:p w14:paraId="4463316F" w14:textId="77777777" w:rsidR="00B0059B" w:rsidRPr="00AE36F0" w:rsidRDefault="00B0059B" w:rsidP="00B0059B">
      <w:pPr>
        <w:tabs>
          <w:tab w:val="left" w:pos="7260"/>
        </w:tabs>
        <w:jc w:val="both"/>
        <w:rPr>
          <w:rFonts w:ascii="Montserrat" w:eastAsia="Times New Roman" w:hAnsi="Montserrat" w:cs="Arial"/>
        </w:rPr>
      </w:pPr>
    </w:p>
    <w:p w14:paraId="2C6C4F4F" w14:textId="77777777" w:rsidR="00B0059B" w:rsidRPr="00AE36F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Depuración y cancelación de saldos.</w:t>
      </w:r>
    </w:p>
    <w:p w14:paraId="522B5753" w14:textId="75AAAD04" w:rsidR="00B0059B" w:rsidRPr="00AE36F0" w:rsidRDefault="00A7045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Durante el </w:t>
      </w:r>
      <w:r w:rsidR="009A6A70" w:rsidRPr="00AE36F0">
        <w:rPr>
          <w:rFonts w:ascii="Montserrat" w:eastAsia="Times New Roman" w:hAnsi="Montserrat" w:cs="Arial"/>
        </w:rPr>
        <w:t>2025</w:t>
      </w:r>
      <w:r w:rsidRPr="00AE36F0">
        <w:rPr>
          <w:rFonts w:ascii="Montserrat" w:eastAsia="Times New Roman" w:hAnsi="Montserrat" w:cs="Arial"/>
        </w:rPr>
        <w:t xml:space="preserve"> no </w:t>
      </w:r>
      <w:r w:rsidR="00B0059B" w:rsidRPr="00AE36F0">
        <w:rPr>
          <w:rFonts w:ascii="Montserrat" w:eastAsia="Times New Roman" w:hAnsi="Montserrat" w:cs="Arial"/>
        </w:rPr>
        <w:t>se</w:t>
      </w:r>
      <w:r w:rsidRPr="00AE36F0">
        <w:rPr>
          <w:rFonts w:ascii="Montserrat" w:eastAsia="Times New Roman" w:hAnsi="Montserrat" w:cs="Arial"/>
        </w:rPr>
        <w:t xml:space="preserve"> han realizado</w:t>
      </w:r>
      <w:r w:rsidR="00B0059B" w:rsidRPr="00AE36F0">
        <w:rPr>
          <w:rFonts w:ascii="Montserrat" w:eastAsia="Times New Roman" w:hAnsi="Montserrat" w:cs="Arial"/>
        </w:rPr>
        <w:t xml:space="preserve"> depuraciones y cancelación de cuentas contables</w:t>
      </w:r>
      <w:r w:rsidR="00D55BB4" w:rsidRPr="00AE36F0">
        <w:rPr>
          <w:rFonts w:ascii="Montserrat" w:eastAsia="Times New Roman" w:hAnsi="Montserrat" w:cs="Arial"/>
        </w:rPr>
        <w:t xml:space="preserve"> significativas</w:t>
      </w:r>
      <w:r w:rsidR="009A6A70" w:rsidRPr="00AE36F0">
        <w:rPr>
          <w:rFonts w:ascii="Montserrat" w:eastAsia="Times New Roman" w:hAnsi="Montserrat" w:cs="Arial"/>
        </w:rPr>
        <w:t xml:space="preserve">, no </w:t>
      </w:r>
      <w:proofErr w:type="gramStart"/>
      <w:r w:rsidR="009A6A70" w:rsidRPr="00AE36F0">
        <w:rPr>
          <w:rFonts w:ascii="Montserrat" w:eastAsia="Times New Roman" w:hAnsi="Montserrat" w:cs="Arial"/>
        </w:rPr>
        <w:t>obstante</w:t>
      </w:r>
      <w:proofErr w:type="gramEnd"/>
      <w:r w:rsidR="009A6A70" w:rsidRPr="00AE36F0">
        <w:rPr>
          <w:rFonts w:ascii="Montserrat" w:eastAsia="Times New Roman" w:hAnsi="Montserrat" w:cs="Arial"/>
        </w:rPr>
        <w:t xml:space="preserve"> lo anterior, durante el mes de septiembre, se realizaron mesas de trabajo con cada una de las dependencias y entidades a fin de validar los saldos contables sujetos a depuración, por lo que </w:t>
      </w:r>
      <w:r w:rsidR="001B6D22">
        <w:rPr>
          <w:rFonts w:ascii="Montserrat" w:eastAsia="Times New Roman" w:hAnsi="Montserrat" w:cs="Arial"/>
        </w:rPr>
        <w:t>durante el último</w:t>
      </w:r>
      <w:r w:rsidR="00776883" w:rsidRPr="00AE36F0">
        <w:rPr>
          <w:rFonts w:ascii="Montserrat" w:eastAsia="Times New Roman" w:hAnsi="Montserrat" w:cs="Arial"/>
        </w:rPr>
        <w:t xml:space="preserve"> trimestre </w:t>
      </w:r>
      <w:r w:rsidR="001B6D22">
        <w:rPr>
          <w:rFonts w:ascii="Montserrat" w:eastAsia="Times New Roman" w:hAnsi="Montserrat" w:cs="Arial"/>
        </w:rPr>
        <w:t>del ejercicio</w:t>
      </w:r>
      <w:r w:rsidR="009A6A70" w:rsidRPr="00AE36F0">
        <w:rPr>
          <w:rFonts w:ascii="Montserrat" w:eastAsia="Times New Roman" w:hAnsi="Montserrat" w:cs="Arial"/>
        </w:rPr>
        <w:t xml:space="preserve"> se reali</w:t>
      </w:r>
      <w:r w:rsidR="00776883" w:rsidRPr="00AE36F0">
        <w:rPr>
          <w:rFonts w:ascii="Montserrat" w:eastAsia="Times New Roman" w:hAnsi="Montserrat" w:cs="Arial"/>
        </w:rPr>
        <w:t xml:space="preserve">zaron </w:t>
      </w:r>
      <w:r w:rsidR="009A6A70" w:rsidRPr="00AE36F0">
        <w:rPr>
          <w:rFonts w:ascii="Montserrat" w:eastAsia="Times New Roman" w:hAnsi="Montserrat" w:cs="Arial"/>
        </w:rPr>
        <w:t>algunas depuraciones o cancelaciones de saldos</w:t>
      </w:r>
      <w:r w:rsidR="001B6D22">
        <w:rPr>
          <w:rFonts w:ascii="Montserrat" w:eastAsia="Times New Roman" w:hAnsi="Montserrat" w:cs="Arial"/>
        </w:rPr>
        <w:t xml:space="preserve"> sin que se consideren relevantes para afectar la información financiera</w:t>
      </w:r>
      <w:r w:rsidR="009A6A70" w:rsidRPr="00AE36F0">
        <w:rPr>
          <w:rFonts w:ascii="Montserrat" w:eastAsia="Times New Roman" w:hAnsi="Montserrat" w:cs="Arial"/>
        </w:rPr>
        <w:t>.</w:t>
      </w:r>
    </w:p>
    <w:p w14:paraId="63C1EBE2" w14:textId="77777777" w:rsidR="00B0059B" w:rsidRPr="00AE36F0" w:rsidRDefault="00B0059B" w:rsidP="00B0059B">
      <w:pPr>
        <w:tabs>
          <w:tab w:val="left" w:pos="7260"/>
        </w:tabs>
        <w:jc w:val="both"/>
        <w:rPr>
          <w:rFonts w:ascii="Montserrat" w:eastAsia="Times New Roman" w:hAnsi="Montserrat" w:cs="Arial"/>
        </w:rPr>
      </w:pPr>
    </w:p>
    <w:p w14:paraId="21832A0D"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Posición en Moneda Extranjera y Protección por Riesgo Cambiario.</w:t>
      </w:r>
    </w:p>
    <w:p w14:paraId="3FF0EC3F" w14:textId="0A7F5DAE"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El Gobierno del Estado de Oaxaca al </w:t>
      </w:r>
      <w:r w:rsidR="002D361E" w:rsidRPr="00AE36F0">
        <w:rPr>
          <w:rFonts w:ascii="Montserrat" w:eastAsia="Times New Roman" w:hAnsi="Montserrat" w:cs="Arial"/>
        </w:rPr>
        <w:t>3</w:t>
      </w:r>
      <w:r w:rsidR="00F97400" w:rsidRPr="00AE36F0">
        <w:rPr>
          <w:rFonts w:ascii="Montserrat" w:eastAsia="Times New Roman" w:hAnsi="Montserrat" w:cs="Arial"/>
        </w:rPr>
        <w:t>1</w:t>
      </w:r>
      <w:r w:rsidR="002D361E" w:rsidRPr="00AE36F0">
        <w:rPr>
          <w:rFonts w:ascii="Montserrat" w:eastAsia="Times New Roman" w:hAnsi="Montserrat" w:cs="Arial"/>
        </w:rPr>
        <w:t xml:space="preserve"> de </w:t>
      </w:r>
      <w:r w:rsidR="00F97400" w:rsidRPr="00AE36F0">
        <w:rPr>
          <w:rFonts w:ascii="Montserrat" w:eastAsia="Times New Roman" w:hAnsi="Montserrat" w:cs="Arial"/>
        </w:rPr>
        <w:t>diciembre</w:t>
      </w:r>
      <w:r w:rsidR="002D361E" w:rsidRPr="00AE36F0">
        <w:rPr>
          <w:rFonts w:ascii="Montserrat" w:eastAsia="Times New Roman" w:hAnsi="Montserrat" w:cs="Arial"/>
        </w:rPr>
        <w:t xml:space="preserve"> de 2025 </w:t>
      </w:r>
      <w:r w:rsidRPr="00AE36F0">
        <w:rPr>
          <w:rFonts w:ascii="Montserrat" w:eastAsia="Times New Roman" w:hAnsi="Montserrat" w:cs="Arial"/>
        </w:rPr>
        <w:t>no cuenta con activos o recursos financieros en moneda extranjera y como consecuencia no se cuenta con protección por riesgo cambiario,</w:t>
      </w:r>
    </w:p>
    <w:p w14:paraId="18A3F738" w14:textId="77777777" w:rsidR="00B0059B" w:rsidRPr="00AE36F0" w:rsidRDefault="00B0059B" w:rsidP="00B0059B">
      <w:pPr>
        <w:tabs>
          <w:tab w:val="left" w:pos="7260"/>
        </w:tabs>
        <w:jc w:val="both"/>
        <w:rPr>
          <w:rFonts w:ascii="Montserrat" w:eastAsia="Times New Roman" w:hAnsi="Montserrat" w:cs="Arial"/>
        </w:rPr>
      </w:pPr>
    </w:p>
    <w:p w14:paraId="654FDA03" w14:textId="77777777" w:rsidR="00B0059B" w:rsidRPr="00AE36F0" w:rsidRDefault="00B0059B" w:rsidP="001B6D22">
      <w:pPr>
        <w:pStyle w:val="Prrafodelista"/>
        <w:keepNext/>
        <w:numPr>
          <w:ilvl w:val="0"/>
          <w:numId w:val="38"/>
        </w:numPr>
        <w:ind w:left="425" w:hanging="425"/>
        <w:jc w:val="both"/>
        <w:rPr>
          <w:rFonts w:ascii="Montserrat" w:hAnsi="Montserrat"/>
          <w:b/>
          <w:sz w:val="24"/>
          <w:szCs w:val="24"/>
        </w:rPr>
      </w:pPr>
      <w:r w:rsidRPr="00AE36F0">
        <w:rPr>
          <w:rFonts w:ascii="Montserrat" w:hAnsi="Montserrat"/>
          <w:b/>
          <w:sz w:val="24"/>
          <w:szCs w:val="24"/>
        </w:rPr>
        <w:lastRenderedPageBreak/>
        <w:t>Reporte Analítico del Activo</w:t>
      </w:r>
    </w:p>
    <w:p w14:paraId="436B878C" w14:textId="77777777" w:rsidR="00B0059B" w:rsidRPr="00AE36F0" w:rsidRDefault="00B0059B" w:rsidP="001B6D22">
      <w:pPr>
        <w:pStyle w:val="Prrafodelista"/>
        <w:keepNext/>
        <w:ind w:left="426"/>
        <w:jc w:val="both"/>
        <w:rPr>
          <w:rFonts w:ascii="Montserrat" w:hAnsi="Montserrat"/>
          <w:b/>
          <w:sz w:val="24"/>
          <w:szCs w:val="24"/>
        </w:rPr>
      </w:pPr>
    </w:p>
    <w:p w14:paraId="0F3BD343"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DF8C3FD"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El registro del Activo se basa en lo estipulado en las </w:t>
      </w:r>
      <w:r w:rsidR="00A4023D" w:rsidRPr="00AE36F0">
        <w:rPr>
          <w:rFonts w:ascii="Montserrat" w:eastAsia="Times New Roman" w:hAnsi="Montserrat" w:cs="Arial"/>
        </w:rPr>
        <w:t>Reglas de Registro y Valuación del Patrimonio;</w:t>
      </w:r>
      <w:r w:rsidRPr="00AE36F0">
        <w:rPr>
          <w:rFonts w:ascii="Montserrat" w:eastAsia="Times New Roman" w:hAnsi="Montserrat" w:cs="Arial"/>
        </w:rPr>
        <w:t xml:space="preserve"> la vida </w:t>
      </w:r>
      <w:r w:rsidR="00A4023D" w:rsidRPr="00AE36F0">
        <w:rPr>
          <w:rFonts w:ascii="Montserrat" w:eastAsia="Times New Roman" w:hAnsi="Montserrat" w:cs="Arial"/>
        </w:rPr>
        <w:t>contable</w:t>
      </w:r>
      <w:r w:rsidRPr="00AE36F0">
        <w:rPr>
          <w:rFonts w:ascii="Montserrat" w:eastAsia="Times New Roman" w:hAnsi="Montserrat" w:cs="Arial"/>
        </w:rPr>
        <w:t xml:space="preserve"> </w:t>
      </w:r>
      <w:r w:rsidR="00A4023D" w:rsidRPr="00AE36F0">
        <w:rPr>
          <w:rFonts w:ascii="Montserrat" w:eastAsia="Times New Roman" w:hAnsi="Montserrat" w:cs="Arial"/>
        </w:rPr>
        <w:t xml:space="preserve">de los bienes </w:t>
      </w:r>
      <w:r w:rsidRPr="00AE36F0">
        <w:rPr>
          <w:rFonts w:ascii="Montserrat" w:eastAsia="Times New Roman" w:hAnsi="Montserrat" w:cs="Arial"/>
        </w:rPr>
        <w:t xml:space="preserve">se considera de acuerdo con los Parámetros de Estimación de Vida Útil, normatividad emitida por el CONAC, publicado en el Diario Oficial de la Federación </w:t>
      </w:r>
      <w:r w:rsidR="00A4023D" w:rsidRPr="00AE36F0">
        <w:rPr>
          <w:rFonts w:ascii="Montserrat" w:eastAsia="Times New Roman" w:hAnsi="Montserrat" w:cs="Arial"/>
        </w:rPr>
        <w:t>con vigencia de aplicación a partir del 1º de enero de 2025</w:t>
      </w:r>
      <w:r w:rsidRPr="00AE36F0">
        <w:rPr>
          <w:rFonts w:ascii="Montserrat" w:eastAsia="Times New Roman" w:hAnsi="Montserrat" w:cs="Arial"/>
        </w:rPr>
        <w:t>, lo que sustenta las cifras reportadas en el Estado Analítico del Activo. Los años de vida útil pueden cambiar en aquellos bienes en que por razones de uso sea menor.</w:t>
      </w:r>
    </w:p>
    <w:p w14:paraId="63E2AD91" w14:textId="77777777" w:rsidR="00B0059B" w:rsidRPr="001B6D22" w:rsidRDefault="00B0059B" w:rsidP="00B0059B">
      <w:pPr>
        <w:pStyle w:val="Prrafodelista"/>
        <w:tabs>
          <w:tab w:val="left" w:pos="7260"/>
        </w:tabs>
        <w:ind w:left="567"/>
        <w:jc w:val="both"/>
        <w:rPr>
          <w:rFonts w:ascii="Montserrat" w:eastAsia="Times New Roman" w:hAnsi="Montserrat" w:cs="Arial"/>
          <w:sz w:val="20"/>
          <w:szCs w:val="20"/>
        </w:rPr>
      </w:pPr>
    </w:p>
    <w:p w14:paraId="0A297071"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Pr="001B6D22" w:rsidRDefault="005C0A3B" w:rsidP="00B0059B">
      <w:pPr>
        <w:tabs>
          <w:tab w:val="left" w:pos="7260"/>
        </w:tabs>
        <w:jc w:val="both"/>
        <w:rPr>
          <w:rFonts w:ascii="Montserrat" w:eastAsia="Times New Roman" w:hAnsi="Montserrat" w:cs="Arial"/>
          <w:sz w:val="20"/>
          <w:szCs w:val="20"/>
        </w:rPr>
      </w:pPr>
    </w:p>
    <w:p w14:paraId="5AF7B716"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AE36F0" w:rsidRDefault="00B0059B" w:rsidP="00B0059B">
      <w:pPr>
        <w:tabs>
          <w:tab w:val="left" w:pos="7260"/>
        </w:tabs>
        <w:jc w:val="both"/>
        <w:rPr>
          <w:rFonts w:ascii="Montserrat" w:eastAsia="Times New Roman" w:hAnsi="Montserrat" w:cs="Arial"/>
        </w:rPr>
      </w:pPr>
    </w:p>
    <w:p w14:paraId="16DDAA34"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Riesgos por tipo de cambio o tipo de interés de las inversiones financieras.</w:t>
      </w:r>
    </w:p>
    <w:p w14:paraId="50D74D2E" w14:textId="2ED383F8"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lastRenderedPageBreak/>
        <w:t>A</w:t>
      </w:r>
      <w:r w:rsidR="002D361E" w:rsidRPr="00AE36F0">
        <w:rPr>
          <w:rFonts w:ascii="Montserrat" w:eastAsia="Times New Roman" w:hAnsi="Montserrat" w:cs="Arial"/>
        </w:rPr>
        <w:t xml:space="preserve"> la fecha del presente informe</w:t>
      </w:r>
      <w:r w:rsidRPr="00AE36F0">
        <w:rPr>
          <w:rFonts w:ascii="Montserrat" w:eastAsia="Times New Roman" w:hAnsi="Montserrat" w:cs="Arial"/>
        </w:rPr>
        <w:t xml:space="preserve">, la cuenta de Inversiones Financieras a largo plazo presenta un saldo de </w:t>
      </w:r>
      <w:r w:rsidR="00FA1CDB" w:rsidRPr="00AE36F0">
        <w:rPr>
          <w:rFonts w:ascii="Montserrat" w:eastAsia="Times New Roman" w:hAnsi="Montserrat" w:cs="Arial"/>
        </w:rPr>
        <w:t>2</w:t>
      </w:r>
      <w:r w:rsidR="00776883" w:rsidRPr="00AE36F0">
        <w:rPr>
          <w:rFonts w:ascii="Montserrat" w:eastAsia="Times New Roman" w:hAnsi="Montserrat" w:cs="Arial"/>
        </w:rPr>
        <w:t xml:space="preserve"> mil 6</w:t>
      </w:r>
      <w:r w:rsidR="001B6D22">
        <w:rPr>
          <w:rFonts w:ascii="Montserrat" w:eastAsia="Times New Roman" w:hAnsi="Montserrat" w:cs="Arial"/>
        </w:rPr>
        <w:t>2</w:t>
      </w:r>
      <w:r w:rsidRPr="00AE36F0">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AE36F0" w:rsidRDefault="00B0059B" w:rsidP="00B0059B">
      <w:pPr>
        <w:tabs>
          <w:tab w:val="left" w:pos="7260"/>
        </w:tabs>
        <w:jc w:val="both"/>
        <w:rPr>
          <w:rFonts w:ascii="Montserrat" w:eastAsia="Times New Roman" w:hAnsi="Montserrat" w:cs="Arial"/>
        </w:rPr>
      </w:pPr>
    </w:p>
    <w:p w14:paraId="3E8637FB" w14:textId="77777777" w:rsidR="00B0059B" w:rsidRPr="00AE36F0"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Valor en el ejercicio de los bienes construidos por la entidad.</w:t>
      </w:r>
    </w:p>
    <w:p w14:paraId="3E1E801C"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Poder Ejecutivo del Gobierno del Estado no realiza obra propia ni construye bienes inmuebles para su propiedad.</w:t>
      </w:r>
    </w:p>
    <w:p w14:paraId="3325898A" w14:textId="77777777" w:rsidR="00B0059B" w:rsidRPr="00AE36F0" w:rsidRDefault="00B0059B" w:rsidP="00B0059B">
      <w:pPr>
        <w:tabs>
          <w:tab w:val="left" w:pos="7260"/>
        </w:tabs>
        <w:jc w:val="both"/>
        <w:rPr>
          <w:rFonts w:ascii="Montserrat" w:eastAsia="Times New Roman" w:hAnsi="Montserrat" w:cs="Arial"/>
        </w:rPr>
      </w:pPr>
    </w:p>
    <w:p w14:paraId="421A4508"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la fecha de los estados financieros, no se identifica alguna circunstancia que afecte el activo.</w:t>
      </w:r>
    </w:p>
    <w:p w14:paraId="48EDF8F8" w14:textId="77777777" w:rsidR="00B0059B" w:rsidRPr="00AE36F0" w:rsidRDefault="00B0059B" w:rsidP="00B0059B">
      <w:pPr>
        <w:tabs>
          <w:tab w:val="left" w:pos="7260"/>
        </w:tabs>
        <w:jc w:val="both"/>
        <w:rPr>
          <w:rFonts w:ascii="Montserrat" w:eastAsia="Times New Roman" w:hAnsi="Montserrat" w:cs="Arial"/>
        </w:rPr>
      </w:pPr>
    </w:p>
    <w:p w14:paraId="6C750EF8"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Desmantelamiento de activos, procedimientos, implicaciones, efectos contables.</w:t>
      </w:r>
    </w:p>
    <w:p w14:paraId="61CC27DE" w14:textId="1625C59C" w:rsidR="00B0059B" w:rsidRPr="00AE36F0" w:rsidRDefault="00D56D92"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Se informa que al </w:t>
      </w:r>
      <w:r w:rsidR="00DC7256" w:rsidRPr="00AE36F0">
        <w:rPr>
          <w:rFonts w:ascii="Montserrat" w:eastAsia="Times New Roman" w:hAnsi="Montserrat" w:cs="Arial"/>
        </w:rPr>
        <w:t>3</w:t>
      </w:r>
      <w:r w:rsidR="005A7342" w:rsidRPr="00AE36F0">
        <w:rPr>
          <w:rFonts w:ascii="Montserrat" w:eastAsia="Times New Roman" w:hAnsi="Montserrat" w:cs="Arial"/>
        </w:rPr>
        <w:t>1 de dicie</w:t>
      </w:r>
      <w:r w:rsidR="00036AD4" w:rsidRPr="00AE36F0">
        <w:rPr>
          <w:rFonts w:ascii="Montserrat" w:eastAsia="Times New Roman" w:hAnsi="Montserrat" w:cs="Arial"/>
        </w:rPr>
        <w:t>mbre</w:t>
      </w:r>
      <w:r w:rsidR="00E66438" w:rsidRPr="00AE36F0">
        <w:rPr>
          <w:rFonts w:ascii="Montserrat" w:eastAsia="Times New Roman" w:hAnsi="Montserrat" w:cs="Arial"/>
        </w:rPr>
        <w:t xml:space="preserve"> de 2025</w:t>
      </w:r>
      <w:r w:rsidR="00B0059B" w:rsidRPr="00AE36F0">
        <w:rPr>
          <w:rFonts w:ascii="Montserrat" w:eastAsia="Times New Roman" w:hAnsi="Montserrat" w:cs="Arial"/>
        </w:rPr>
        <w:t xml:space="preserve"> el Poder Ejecutivo no ha realizado procedimientos para desmantelar activos.</w:t>
      </w:r>
    </w:p>
    <w:p w14:paraId="70225F84" w14:textId="77777777" w:rsidR="00B0059B" w:rsidRPr="00AE36F0" w:rsidRDefault="00B0059B" w:rsidP="00B0059B">
      <w:pPr>
        <w:tabs>
          <w:tab w:val="left" w:pos="7260"/>
        </w:tabs>
        <w:jc w:val="both"/>
        <w:rPr>
          <w:rFonts w:ascii="Montserrat" w:eastAsia="Times New Roman" w:hAnsi="Montserrat" w:cs="Arial"/>
        </w:rPr>
      </w:pPr>
    </w:p>
    <w:p w14:paraId="71B72C0F"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Adicionalmente, se informa de las principales variaciones en el activo, en cuadros comparativos como sigue:</w:t>
      </w:r>
    </w:p>
    <w:p w14:paraId="104C035F" w14:textId="77777777" w:rsidR="001B6D22" w:rsidRDefault="001B6D22" w:rsidP="00B0059B">
      <w:pPr>
        <w:tabs>
          <w:tab w:val="left" w:pos="7260"/>
        </w:tabs>
        <w:jc w:val="both"/>
        <w:rPr>
          <w:rFonts w:ascii="Montserrat" w:eastAsia="Times New Roman" w:hAnsi="Montserrat" w:cs="Arial"/>
        </w:rPr>
      </w:pPr>
    </w:p>
    <w:p w14:paraId="1C51F2F4" w14:textId="77777777" w:rsidR="001B6D22" w:rsidRPr="00AE36F0" w:rsidRDefault="001B6D22" w:rsidP="00B0059B">
      <w:pPr>
        <w:tabs>
          <w:tab w:val="left" w:pos="7260"/>
        </w:tabs>
        <w:jc w:val="both"/>
        <w:rPr>
          <w:rFonts w:ascii="Montserrat" w:eastAsia="Times New Roman" w:hAnsi="Montserrat" w:cs="Arial"/>
        </w:rPr>
      </w:pPr>
    </w:p>
    <w:p w14:paraId="3FF722E7" w14:textId="77777777" w:rsidR="00EE01B3" w:rsidRPr="00AE36F0" w:rsidRDefault="00EE01B3" w:rsidP="00B0059B">
      <w:pPr>
        <w:tabs>
          <w:tab w:val="left" w:pos="7260"/>
        </w:tabs>
        <w:jc w:val="both"/>
        <w:rPr>
          <w:rFonts w:ascii="Montserrat" w:eastAsia="Times New Roman" w:hAnsi="Montserrat" w:cs="Arial"/>
        </w:rPr>
      </w:pPr>
    </w:p>
    <w:p w14:paraId="3ABDCF1B" w14:textId="77777777" w:rsidR="00B0059B" w:rsidRPr="00AE36F0" w:rsidRDefault="00B0059B" w:rsidP="00B81758">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lastRenderedPageBreak/>
        <w:t>Inversiones en valores.</w:t>
      </w:r>
    </w:p>
    <w:tbl>
      <w:tblPr>
        <w:tblW w:w="9067" w:type="dxa"/>
        <w:tblCellMar>
          <w:left w:w="70" w:type="dxa"/>
          <w:right w:w="70" w:type="dxa"/>
        </w:tblCellMar>
        <w:tblLook w:val="04A0" w:firstRow="1" w:lastRow="0" w:firstColumn="1" w:lastColumn="0" w:noHBand="0" w:noVBand="1"/>
      </w:tblPr>
      <w:tblGrid>
        <w:gridCol w:w="1170"/>
        <w:gridCol w:w="1903"/>
        <w:gridCol w:w="1891"/>
        <w:gridCol w:w="2120"/>
        <w:gridCol w:w="1983"/>
      </w:tblGrid>
      <w:tr w:rsidR="00FA1CDB" w:rsidRPr="00AE36F0" w14:paraId="5205FD14" w14:textId="77777777" w:rsidTr="007A7274">
        <w:trPr>
          <w:trHeight w:val="595"/>
        </w:trPr>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503115" w14:textId="1AEDB15D"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CUENTA</w:t>
            </w:r>
          </w:p>
        </w:tc>
        <w:tc>
          <w:tcPr>
            <w:tcW w:w="190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77AFEC" w14:textId="1AA16537"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DESCRIPCIÓN</w:t>
            </w:r>
          </w:p>
        </w:tc>
        <w:tc>
          <w:tcPr>
            <w:tcW w:w="189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A4BA89" w14:textId="7D2A41BC"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SALDO AL 31 DE DICIEMBRE DE 2024</w:t>
            </w:r>
          </w:p>
        </w:tc>
        <w:tc>
          <w:tcPr>
            <w:tcW w:w="21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9516C0" w14:textId="0FEAD093"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SALDO AL 3</w:t>
            </w:r>
            <w:r w:rsidR="007A7274" w:rsidRPr="00AE36F0">
              <w:rPr>
                <w:rFonts w:ascii="Montserrat" w:hAnsi="Montserrat" w:cs="Calibri"/>
                <w:b/>
                <w:bCs/>
                <w:color w:val="000000"/>
                <w:sz w:val="22"/>
                <w:szCs w:val="22"/>
              </w:rPr>
              <w:t>1</w:t>
            </w:r>
            <w:r w:rsidRPr="00AE36F0">
              <w:rPr>
                <w:rFonts w:ascii="Montserrat" w:hAnsi="Montserrat" w:cs="Calibri"/>
                <w:b/>
                <w:bCs/>
                <w:color w:val="000000"/>
                <w:sz w:val="22"/>
                <w:szCs w:val="22"/>
              </w:rPr>
              <w:t xml:space="preserve"> DE </w:t>
            </w:r>
            <w:r w:rsidR="007A7274" w:rsidRPr="00AE36F0">
              <w:rPr>
                <w:rFonts w:ascii="Montserrat" w:hAnsi="Montserrat" w:cs="Calibri"/>
                <w:b/>
                <w:bCs/>
                <w:color w:val="000000"/>
                <w:sz w:val="22"/>
                <w:szCs w:val="22"/>
              </w:rPr>
              <w:t>DICIEMBRE</w:t>
            </w:r>
            <w:r w:rsidRPr="00AE36F0">
              <w:rPr>
                <w:rFonts w:ascii="Montserrat" w:hAnsi="Montserrat" w:cs="Calibri"/>
                <w:b/>
                <w:bCs/>
                <w:color w:val="000000"/>
                <w:sz w:val="22"/>
                <w:szCs w:val="22"/>
              </w:rPr>
              <w:t xml:space="preserve"> DE 2025</w:t>
            </w:r>
          </w:p>
        </w:tc>
        <w:tc>
          <w:tcPr>
            <w:tcW w:w="198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969CB0" w14:textId="127A9EBA" w:rsidR="00FA1CDB" w:rsidRPr="00AE36F0" w:rsidRDefault="00FA1CDB" w:rsidP="00FA1CDB">
            <w:pPr>
              <w:jc w:val="cente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DIFERENCIA</w:t>
            </w:r>
          </w:p>
        </w:tc>
      </w:tr>
      <w:tr w:rsidR="007A7274" w:rsidRPr="00AE36F0" w14:paraId="73B098B6"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4ACACCBE" w14:textId="0EE23563"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w:t>
            </w:r>
          </w:p>
        </w:tc>
        <w:tc>
          <w:tcPr>
            <w:tcW w:w="1903" w:type="dxa"/>
            <w:tcBorders>
              <w:top w:val="nil"/>
              <w:left w:val="nil"/>
              <w:bottom w:val="single" w:sz="4" w:space="0" w:color="auto"/>
              <w:right w:val="single" w:sz="4" w:space="0" w:color="auto"/>
            </w:tcBorders>
            <w:vAlign w:val="center"/>
            <w:hideMark/>
          </w:tcPr>
          <w:p w14:paraId="611D851D" w14:textId="11C8B1A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INVERSIONES EN MONEDA NACIONAL CP</w:t>
            </w:r>
          </w:p>
        </w:tc>
        <w:tc>
          <w:tcPr>
            <w:tcW w:w="1891" w:type="dxa"/>
            <w:tcBorders>
              <w:top w:val="nil"/>
              <w:left w:val="nil"/>
              <w:bottom w:val="single" w:sz="4" w:space="0" w:color="auto"/>
              <w:right w:val="single" w:sz="4" w:space="0" w:color="auto"/>
            </w:tcBorders>
            <w:vAlign w:val="center"/>
            <w:hideMark/>
          </w:tcPr>
          <w:p w14:paraId="44889F8C" w14:textId="620630B1"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3,087,336,241.94</w:t>
            </w:r>
          </w:p>
        </w:tc>
        <w:tc>
          <w:tcPr>
            <w:tcW w:w="2120" w:type="dxa"/>
            <w:tcBorders>
              <w:top w:val="nil"/>
              <w:left w:val="nil"/>
              <w:bottom w:val="single" w:sz="4" w:space="0" w:color="auto"/>
              <w:right w:val="single" w:sz="4" w:space="0" w:color="auto"/>
            </w:tcBorders>
            <w:vAlign w:val="center"/>
            <w:hideMark/>
          </w:tcPr>
          <w:p w14:paraId="485D9AEC" w14:textId="2D1ED662"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1,309,084,154.48</w:t>
            </w:r>
          </w:p>
        </w:tc>
        <w:tc>
          <w:tcPr>
            <w:tcW w:w="1983" w:type="dxa"/>
            <w:tcBorders>
              <w:top w:val="nil"/>
              <w:left w:val="nil"/>
              <w:bottom w:val="single" w:sz="4" w:space="0" w:color="auto"/>
              <w:right w:val="single" w:sz="4" w:space="0" w:color="auto"/>
            </w:tcBorders>
            <w:vAlign w:val="center"/>
            <w:hideMark/>
          </w:tcPr>
          <w:p w14:paraId="4A0D1A23" w14:textId="64949823"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-1,778,252,087.46</w:t>
            </w:r>
          </w:p>
        </w:tc>
      </w:tr>
      <w:tr w:rsidR="007A7274" w:rsidRPr="00AE36F0" w14:paraId="715CA4AC"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58DF82D0" w14:textId="4D88C99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1.1.1.4.1.001</w:t>
            </w:r>
          </w:p>
        </w:tc>
        <w:tc>
          <w:tcPr>
            <w:tcW w:w="1903" w:type="dxa"/>
            <w:tcBorders>
              <w:top w:val="nil"/>
              <w:left w:val="nil"/>
              <w:bottom w:val="single" w:sz="4" w:space="0" w:color="auto"/>
              <w:right w:val="single" w:sz="4" w:space="0" w:color="auto"/>
            </w:tcBorders>
            <w:vAlign w:val="center"/>
            <w:hideMark/>
          </w:tcPr>
          <w:p w14:paraId="11AA59C8" w14:textId="0BB8A675"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BANAMEX</w:t>
            </w:r>
          </w:p>
        </w:tc>
        <w:tc>
          <w:tcPr>
            <w:tcW w:w="1891" w:type="dxa"/>
            <w:tcBorders>
              <w:top w:val="nil"/>
              <w:left w:val="nil"/>
              <w:bottom w:val="single" w:sz="4" w:space="0" w:color="auto"/>
              <w:right w:val="single" w:sz="4" w:space="0" w:color="auto"/>
            </w:tcBorders>
            <w:vAlign w:val="center"/>
            <w:hideMark/>
          </w:tcPr>
          <w:p w14:paraId="4F42F691" w14:textId="36E2D558"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362,771,676.26</w:t>
            </w:r>
          </w:p>
        </w:tc>
        <w:tc>
          <w:tcPr>
            <w:tcW w:w="2120" w:type="dxa"/>
            <w:tcBorders>
              <w:top w:val="nil"/>
              <w:left w:val="nil"/>
              <w:bottom w:val="single" w:sz="4" w:space="0" w:color="auto"/>
              <w:right w:val="single" w:sz="4" w:space="0" w:color="auto"/>
            </w:tcBorders>
            <w:vAlign w:val="center"/>
            <w:hideMark/>
          </w:tcPr>
          <w:p w14:paraId="56F9F942" w14:textId="4820FD99"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43,562,584.19</w:t>
            </w:r>
          </w:p>
        </w:tc>
        <w:tc>
          <w:tcPr>
            <w:tcW w:w="1983" w:type="dxa"/>
            <w:tcBorders>
              <w:top w:val="nil"/>
              <w:left w:val="nil"/>
              <w:bottom w:val="single" w:sz="4" w:space="0" w:color="auto"/>
              <w:right w:val="single" w:sz="4" w:space="0" w:color="auto"/>
            </w:tcBorders>
            <w:vAlign w:val="center"/>
            <w:hideMark/>
          </w:tcPr>
          <w:p w14:paraId="4EDC37FC" w14:textId="09301010"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-319,209,092.07</w:t>
            </w:r>
          </w:p>
        </w:tc>
      </w:tr>
      <w:tr w:rsidR="007A7274" w:rsidRPr="00AE36F0" w14:paraId="4C36F5C3"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0A264A6E" w14:textId="34EC222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1.1.1.4.1.002</w:t>
            </w:r>
          </w:p>
        </w:tc>
        <w:tc>
          <w:tcPr>
            <w:tcW w:w="1903" w:type="dxa"/>
            <w:tcBorders>
              <w:top w:val="nil"/>
              <w:left w:val="nil"/>
              <w:bottom w:val="single" w:sz="4" w:space="0" w:color="auto"/>
              <w:right w:val="single" w:sz="4" w:space="0" w:color="auto"/>
            </w:tcBorders>
            <w:vAlign w:val="center"/>
            <w:hideMark/>
          </w:tcPr>
          <w:p w14:paraId="7A021FD2" w14:textId="6FFC7405"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BBVA BANCOMER, S.A.</w:t>
            </w:r>
          </w:p>
        </w:tc>
        <w:tc>
          <w:tcPr>
            <w:tcW w:w="1891" w:type="dxa"/>
            <w:tcBorders>
              <w:top w:val="nil"/>
              <w:left w:val="nil"/>
              <w:bottom w:val="single" w:sz="4" w:space="0" w:color="auto"/>
              <w:right w:val="single" w:sz="4" w:space="0" w:color="auto"/>
            </w:tcBorders>
            <w:vAlign w:val="center"/>
            <w:hideMark/>
          </w:tcPr>
          <w:p w14:paraId="3E8BAE87" w14:textId="4E21A13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1,030,158,081.20</w:t>
            </w:r>
          </w:p>
        </w:tc>
        <w:tc>
          <w:tcPr>
            <w:tcW w:w="2120" w:type="dxa"/>
            <w:tcBorders>
              <w:top w:val="nil"/>
              <w:left w:val="nil"/>
              <w:bottom w:val="single" w:sz="4" w:space="0" w:color="auto"/>
              <w:right w:val="single" w:sz="4" w:space="0" w:color="auto"/>
            </w:tcBorders>
            <w:vAlign w:val="center"/>
            <w:hideMark/>
          </w:tcPr>
          <w:p w14:paraId="0FB358F9" w14:textId="5A95FB39"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374,971,911.23</w:t>
            </w:r>
          </w:p>
        </w:tc>
        <w:tc>
          <w:tcPr>
            <w:tcW w:w="1983" w:type="dxa"/>
            <w:tcBorders>
              <w:top w:val="nil"/>
              <w:left w:val="nil"/>
              <w:bottom w:val="single" w:sz="4" w:space="0" w:color="auto"/>
              <w:right w:val="single" w:sz="4" w:space="0" w:color="auto"/>
            </w:tcBorders>
            <w:vAlign w:val="center"/>
            <w:hideMark/>
          </w:tcPr>
          <w:p w14:paraId="6E68F975" w14:textId="412E8CBC"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-655,186,169.97</w:t>
            </w:r>
          </w:p>
        </w:tc>
      </w:tr>
      <w:tr w:rsidR="007A7274" w:rsidRPr="00AE36F0" w14:paraId="1675DB38"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737F2835" w14:textId="10A5DC32"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1.1.1.4.1.003</w:t>
            </w:r>
          </w:p>
        </w:tc>
        <w:tc>
          <w:tcPr>
            <w:tcW w:w="1903" w:type="dxa"/>
            <w:tcBorders>
              <w:top w:val="nil"/>
              <w:left w:val="nil"/>
              <w:bottom w:val="single" w:sz="4" w:space="0" w:color="auto"/>
              <w:right w:val="single" w:sz="4" w:space="0" w:color="auto"/>
            </w:tcBorders>
            <w:vAlign w:val="center"/>
            <w:hideMark/>
          </w:tcPr>
          <w:p w14:paraId="70366872" w14:textId="1C9D34C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HSBC</w:t>
            </w:r>
          </w:p>
        </w:tc>
        <w:tc>
          <w:tcPr>
            <w:tcW w:w="1891" w:type="dxa"/>
            <w:tcBorders>
              <w:top w:val="nil"/>
              <w:left w:val="nil"/>
              <w:bottom w:val="single" w:sz="4" w:space="0" w:color="auto"/>
              <w:right w:val="single" w:sz="4" w:space="0" w:color="auto"/>
            </w:tcBorders>
            <w:vAlign w:val="center"/>
            <w:hideMark/>
          </w:tcPr>
          <w:p w14:paraId="7251CC88" w14:textId="0D667A2B"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456,815,505.12</w:t>
            </w:r>
          </w:p>
        </w:tc>
        <w:tc>
          <w:tcPr>
            <w:tcW w:w="2120" w:type="dxa"/>
            <w:tcBorders>
              <w:top w:val="nil"/>
              <w:left w:val="nil"/>
              <w:bottom w:val="single" w:sz="4" w:space="0" w:color="auto"/>
              <w:right w:val="single" w:sz="4" w:space="0" w:color="auto"/>
            </w:tcBorders>
            <w:vAlign w:val="center"/>
            <w:hideMark/>
          </w:tcPr>
          <w:p w14:paraId="472065A2" w14:textId="7C94C58B"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149,279,975.21</w:t>
            </w:r>
          </w:p>
        </w:tc>
        <w:tc>
          <w:tcPr>
            <w:tcW w:w="1983" w:type="dxa"/>
            <w:tcBorders>
              <w:top w:val="nil"/>
              <w:left w:val="nil"/>
              <w:bottom w:val="single" w:sz="4" w:space="0" w:color="auto"/>
              <w:right w:val="single" w:sz="4" w:space="0" w:color="auto"/>
            </w:tcBorders>
            <w:vAlign w:val="center"/>
            <w:hideMark/>
          </w:tcPr>
          <w:p w14:paraId="40E7C4CE" w14:textId="1C3220E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-307,535,529.91</w:t>
            </w:r>
          </w:p>
        </w:tc>
      </w:tr>
      <w:tr w:rsidR="007A7274" w:rsidRPr="00AE36F0" w14:paraId="79A1D126"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4267B8A7" w14:textId="41826748"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1.1.1.4.1.004</w:t>
            </w:r>
          </w:p>
        </w:tc>
        <w:tc>
          <w:tcPr>
            <w:tcW w:w="1903" w:type="dxa"/>
            <w:tcBorders>
              <w:top w:val="nil"/>
              <w:left w:val="nil"/>
              <w:bottom w:val="single" w:sz="4" w:space="0" w:color="auto"/>
              <w:right w:val="single" w:sz="4" w:space="0" w:color="auto"/>
            </w:tcBorders>
            <w:vAlign w:val="center"/>
            <w:hideMark/>
          </w:tcPr>
          <w:p w14:paraId="2023B92F" w14:textId="023E2BC3"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SCOTIABANK</w:t>
            </w:r>
          </w:p>
        </w:tc>
        <w:tc>
          <w:tcPr>
            <w:tcW w:w="1891" w:type="dxa"/>
            <w:tcBorders>
              <w:top w:val="nil"/>
              <w:left w:val="nil"/>
              <w:bottom w:val="single" w:sz="4" w:space="0" w:color="auto"/>
              <w:right w:val="single" w:sz="4" w:space="0" w:color="auto"/>
            </w:tcBorders>
            <w:vAlign w:val="center"/>
            <w:hideMark/>
          </w:tcPr>
          <w:p w14:paraId="158403BD" w14:textId="02E9686C"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387,463,583.40</w:t>
            </w:r>
          </w:p>
        </w:tc>
        <w:tc>
          <w:tcPr>
            <w:tcW w:w="2120" w:type="dxa"/>
            <w:tcBorders>
              <w:top w:val="nil"/>
              <w:left w:val="nil"/>
              <w:bottom w:val="single" w:sz="4" w:space="0" w:color="auto"/>
              <w:right w:val="single" w:sz="4" w:space="0" w:color="auto"/>
            </w:tcBorders>
            <w:vAlign w:val="center"/>
            <w:hideMark/>
          </w:tcPr>
          <w:p w14:paraId="04901DF7" w14:textId="73B53D5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320,760,789.21</w:t>
            </w:r>
          </w:p>
        </w:tc>
        <w:tc>
          <w:tcPr>
            <w:tcW w:w="1983" w:type="dxa"/>
            <w:tcBorders>
              <w:top w:val="nil"/>
              <w:left w:val="nil"/>
              <w:bottom w:val="single" w:sz="4" w:space="0" w:color="auto"/>
              <w:right w:val="single" w:sz="4" w:space="0" w:color="auto"/>
            </w:tcBorders>
            <w:vAlign w:val="center"/>
            <w:hideMark/>
          </w:tcPr>
          <w:p w14:paraId="27DA37F7" w14:textId="754B260F"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-66,702,794.19</w:t>
            </w:r>
          </w:p>
        </w:tc>
      </w:tr>
      <w:tr w:rsidR="007A7274" w:rsidRPr="00AE36F0" w14:paraId="560C5695"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4FE19783" w14:textId="3DA4BC8B"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1.1.1.4.1.005</w:t>
            </w:r>
          </w:p>
        </w:tc>
        <w:tc>
          <w:tcPr>
            <w:tcW w:w="1903" w:type="dxa"/>
            <w:tcBorders>
              <w:top w:val="nil"/>
              <w:left w:val="nil"/>
              <w:bottom w:val="single" w:sz="4" w:space="0" w:color="auto"/>
              <w:right w:val="single" w:sz="4" w:space="0" w:color="auto"/>
            </w:tcBorders>
            <w:vAlign w:val="center"/>
            <w:hideMark/>
          </w:tcPr>
          <w:p w14:paraId="1C7E6E69" w14:textId="3D146085"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SANTANDER</w:t>
            </w:r>
          </w:p>
        </w:tc>
        <w:tc>
          <w:tcPr>
            <w:tcW w:w="1891" w:type="dxa"/>
            <w:tcBorders>
              <w:top w:val="nil"/>
              <w:left w:val="nil"/>
              <w:bottom w:val="single" w:sz="4" w:space="0" w:color="auto"/>
              <w:right w:val="single" w:sz="4" w:space="0" w:color="auto"/>
            </w:tcBorders>
            <w:vAlign w:val="center"/>
            <w:hideMark/>
          </w:tcPr>
          <w:p w14:paraId="395E6240" w14:textId="1CFC5551"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331,157,126.07</w:t>
            </w:r>
          </w:p>
        </w:tc>
        <w:tc>
          <w:tcPr>
            <w:tcW w:w="2120" w:type="dxa"/>
            <w:tcBorders>
              <w:top w:val="nil"/>
              <w:left w:val="nil"/>
              <w:bottom w:val="single" w:sz="4" w:space="0" w:color="auto"/>
              <w:right w:val="single" w:sz="4" w:space="0" w:color="auto"/>
            </w:tcBorders>
            <w:vAlign w:val="center"/>
            <w:hideMark/>
          </w:tcPr>
          <w:p w14:paraId="74EBFC40" w14:textId="1B77037B"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102,106,372.65</w:t>
            </w:r>
          </w:p>
        </w:tc>
        <w:tc>
          <w:tcPr>
            <w:tcW w:w="1983" w:type="dxa"/>
            <w:tcBorders>
              <w:top w:val="nil"/>
              <w:left w:val="nil"/>
              <w:bottom w:val="single" w:sz="4" w:space="0" w:color="auto"/>
              <w:right w:val="single" w:sz="4" w:space="0" w:color="auto"/>
            </w:tcBorders>
            <w:vAlign w:val="center"/>
            <w:hideMark/>
          </w:tcPr>
          <w:p w14:paraId="1C391CA3" w14:textId="3F8C8644"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-229,050,753.42</w:t>
            </w:r>
          </w:p>
        </w:tc>
      </w:tr>
      <w:tr w:rsidR="007A7274" w:rsidRPr="00AE36F0" w14:paraId="6BFE69EB" w14:textId="77777777" w:rsidTr="007A7274">
        <w:trPr>
          <w:trHeight w:val="300"/>
        </w:trPr>
        <w:tc>
          <w:tcPr>
            <w:tcW w:w="1170" w:type="dxa"/>
            <w:tcBorders>
              <w:top w:val="nil"/>
              <w:left w:val="single" w:sz="4" w:space="0" w:color="auto"/>
              <w:bottom w:val="single" w:sz="4" w:space="0" w:color="auto"/>
              <w:right w:val="single" w:sz="4" w:space="0" w:color="auto"/>
            </w:tcBorders>
            <w:vAlign w:val="center"/>
            <w:hideMark/>
          </w:tcPr>
          <w:p w14:paraId="326262E7" w14:textId="62EE31C6"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1.1.1.4.1.007</w:t>
            </w:r>
          </w:p>
        </w:tc>
        <w:tc>
          <w:tcPr>
            <w:tcW w:w="1903" w:type="dxa"/>
            <w:tcBorders>
              <w:top w:val="nil"/>
              <w:left w:val="nil"/>
              <w:bottom w:val="single" w:sz="4" w:space="0" w:color="auto"/>
              <w:right w:val="single" w:sz="4" w:space="0" w:color="auto"/>
            </w:tcBorders>
            <w:vAlign w:val="center"/>
            <w:hideMark/>
          </w:tcPr>
          <w:p w14:paraId="03790A6B" w14:textId="63E1AF51"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BANORTE</w:t>
            </w:r>
          </w:p>
        </w:tc>
        <w:tc>
          <w:tcPr>
            <w:tcW w:w="1891" w:type="dxa"/>
            <w:tcBorders>
              <w:top w:val="nil"/>
              <w:left w:val="nil"/>
              <w:bottom w:val="single" w:sz="4" w:space="0" w:color="auto"/>
              <w:right w:val="single" w:sz="4" w:space="0" w:color="auto"/>
            </w:tcBorders>
            <w:vAlign w:val="center"/>
            <w:hideMark/>
          </w:tcPr>
          <w:p w14:paraId="55915DD2" w14:textId="79DB39B6"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3,087,336,241.94</w:t>
            </w:r>
          </w:p>
        </w:tc>
        <w:tc>
          <w:tcPr>
            <w:tcW w:w="2120" w:type="dxa"/>
            <w:tcBorders>
              <w:top w:val="nil"/>
              <w:left w:val="nil"/>
              <w:bottom w:val="single" w:sz="4" w:space="0" w:color="auto"/>
              <w:right w:val="single" w:sz="4" w:space="0" w:color="auto"/>
            </w:tcBorders>
            <w:vAlign w:val="center"/>
            <w:hideMark/>
          </w:tcPr>
          <w:p w14:paraId="44C92EE9" w14:textId="7F92B31F"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1,309,084,154.48</w:t>
            </w:r>
          </w:p>
        </w:tc>
        <w:tc>
          <w:tcPr>
            <w:tcW w:w="1983" w:type="dxa"/>
            <w:tcBorders>
              <w:top w:val="nil"/>
              <w:left w:val="nil"/>
              <w:bottom w:val="single" w:sz="4" w:space="0" w:color="auto"/>
              <w:right w:val="single" w:sz="4" w:space="0" w:color="auto"/>
            </w:tcBorders>
            <w:vAlign w:val="center"/>
            <w:hideMark/>
          </w:tcPr>
          <w:p w14:paraId="75197084" w14:textId="156C36C5"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-1,778,252,087.46</w:t>
            </w:r>
          </w:p>
        </w:tc>
      </w:tr>
      <w:tr w:rsidR="007A7274" w:rsidRPr="00AE36F0" w14:paraId="3BB5C115" w14:textId="77777777" w:rsidTr="007A7274">
        <w:trPr>
          <w:trHeight w:val="300"/>
        </w:trPr>
        <w:tc>
          <w:tcPr>
            <w:tcW w:w="1170" w:type="dxa"/>
            <w:tcBorders>
              <w:top w:val="single" w:sz="4" w:space="0" w:color="auto"/>
              <w:left w:val="single" w:sz="4" w:space="0" w:color="auto"/>
              <w:bottom w:val="single" w:sz="4" w:space="0" w:color="auto"/>
              <w:right w:val="single" w:sz="4" w:space="0" w:color="auto"/>
            </w:tcBorders>
            <w:vAlign w:val="center"/>
            <w:hideMark/>
          </w:tcPr>
          <w:p w14:paraId="1A3240DA" w14:textId="656B7044"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1.1.1.4.1.009</w:t>
            </w:r>
          </w:p>
        </w:tc>
        <w:tc>
          <w:tcPr>
            <w:tcW w:w="1903" w:type="dxa"/>
            <w:tcBorders>
              <w:top w:val="single" w:sz="4" w:space="0" w:color="auto"/>
              <w:left w:val="nil"/>
              <w:bottom w:val="single" w:sz="4" w:space="0" w:color="auto"/>
              <w:right w:val="single" w:sz="4" w:space="0" w:color="auto"/>
            </w:tcBorders>
            <w:vAlign w:val="center"/>
            <w:hideMark/>
          </w:tcPr>
          <w:p w14:paraId="14EEB501" w14:textId="62070CA8" w:rsidR="007A7274" w:rsidRPr="00AE36F0" w:rsidRDefault="007A7274" w:rsidP="007A7274">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BANCO AZTECA</w:t>
            </w:r>
          </w:p>
        </w:tc>
        <w:tc>
          <w:tcPr>
            <w:tcW w:w="1891" w:type="dxa"/>
            <w:tcBorders>
              <w:top w:val="single" w:sz="4" w:space="0" w:color="auto"/>
              <w:left w:val="nil"/>
              <w:bottom w:val="single" w:sz="4" w:space="0" w:color="auto"/>
              <w:right w:val="single" w:sz="4" w:space="0" w:color="auto"/>
            </w:tcBorders>
            <w:vAlign w:val="center"/>
            <w:hideMark/>
          </w:tcPr>
          <w:p w14:paraId="24A2979E" w14:textId="3C6ABABC"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518,970,269.89</w:t>
            </w:r>
          </w:p>
        </w:tc>
        <w:tc>
          <w:tcPr>
            <w:tcW w:w="2120" w:type="dxa"/>
            <w:tcBorders>
              <w:top w:val="single" w:sz="4" w:space="0" w:color="auto"/>
              <w:left w:val="nil"/>
              <w:bottom w:val="single" w:sz="4" w:space="0" w:color="auto"/>
              <w:right w:val="single" w:sz="4" w:space="0" w:color="auto"/>
            </w:tcBorders>
            <w:vAlign w:val="center"/>
            <w:hideMark/>
          </w:tcPr>
          <w:p w14:paraId="0C9F6157" w14:textId="0E634644"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318,402,521.99</w:t>
            </w:r>
          </w:p>
        </w:tc>
        <w:tc>
          <w:tcPr>
            <w:tcW w:w="1983" w:type="dxa"/>
            <w:tcBorders>
              <w:top w:val="single" w:sz="4" w:space="0" w:color="auto"/>
              <w:left w:val="nil"/>
              <w:bottom w:val="single" w:sz="4" w:space="0" w:color="auto"/>
              <w:right w:val="single" w:sz="4" w:space="0" w:color="auto"/>
            </w:tcBorders>
            <w:vAlign w:val="center"/>
            <w:hideMark/>
          </w:tcPr>
          <w:p w14:paraId="59661162" w14:textId="27BA2D72" w:rsidR="007A7274" w:rsidRPr="00AE36F0" w:rsidRDefault="007A7274" w:rsidP="007A7274">
            <w:pPr>
              <w:jc w:val="right"/>
              <w:rPr>
                <w:rFonts w:ascii="Montserrat" w:hAnsi="Montserrat" w:cs="Calibri"/>
                <w:color w:val="000000"/>
                <w:sz w:val="20"/>
                <w:szCs w:val="20"/>
              </w:rPr>
            </w:pPr>
            <w:r w:rsidRPr="00AE36F0">
              <w:rPr>
                <w:rFonts w:ascii="Montserrat" w:hAnsi="Montserrat" w:cs="Calibri"/>
                <w:color w:val="000000"/>
                <w:sz w:val="20"/>
                <w:szCs w:val="20"/>
              </w:rPr>
              <w:t>-200,567,747.90</w:t>
            </w:r>
          </w:p>
        </w:tc>
      </w:tr>
      <w:tr w:rsidR="007A7274" w:rsidRPr="00AE36F0" w14:paraId="7786BF68" w14:textId="77777777" w:rsidTr="007A7274">
        <w:trPr>
          <w:trHeight w:val="300"/>
        </w:trPr>
        <w:tc>
          <w:tcPr>
            <w:tcW w:w="1170" w:type="dxa"/>
            <w:tcBorders>
              <w:top w:val="single" w:sz="4" w:space="0" w:color="auto"/>
              <w:left w:val="single" w:sz="4" w:space="0" w:color="auto"/>
              <w:bottom w:val="single" w:sz="4" w:space="0" w:color="auto"/>
              <w:right w:val="single" w:sz="4" w:space="0" w:color="auto"/>
            </w:tcBorders>
            <w:vAlign w:val="center"/>
          </w:tcPr>
          <w:p w14:paraId="1350C490" w14:textId="000241DA" w:rsidR="007A7274" w:rsidRPr="00AE36F0" w:rsidRDefault="007A7274" w:rsidP="007A7274">
            <w:pPr>
              <w:rPr>
                <w:rFonts w:ascii="Montserrat" w:eastAsia="Times New Roman" w:hAnsi="Montserrat" w:cs="Calibri"/>
                <w:b/>
                <w:bCs/>
                <w:color w:val="000000"/>
                <w:sz w:val="22"/>
                <w:szCs w:val="22"/>
                <w:lang w:val="es-MX"/>
              </w:rPr>
            </w:pPr>
            <w:r w:rsidRPr="00AE36F0">
              <w:rPr>
                <w:rFonts w:ascii="Montserrat" w:hAnsi="Montserrat" w:cs="Calibri"/>
                <w:b/>
                <w:bCs/>
                <w:color w:val="000000"/>
                <w:sz w:val="22"/>
                <w:szCs w:val="22"/>
              </w:rPr>
              <w:t> </w:t>
            </w:r>
          </w:p>
        </w:tc>
        <w:tc>
          <w:tcPr>
            <w:tcW w:w="1903" w:type="dxa"/>
            <w:tcBorders>
              <w:top w:val="single" w:sz="4" w:space="0" w:color="auto"/>
              <w:left w:val="nil"/>
              <w:bottom w:val="single" w:sz="4" w:space="0" w:color="auto"/>
              <w:right w:val="single" w:sz="4" w:space="0" w:color="auto"/>
            </w:tcBorders>
            <w:vAlign w:val="center"/>
          </w:tcPr>
          <w:p w14:paraId="1C918C5A" w14:textId="6351B065" w:rsidR="007A7274" w:rsidRPr="00AE36F0" w:rsidRDefault="007A7274" w:rsidP="007A7274">
            <w:pPr>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TOTALES</w:t>
            </w:r>
          </w:p>
        </w:tc>
        <w:tc>
          <w:tcPr>
            <w:tcW w:w="1891" w:type="dxa"/>
            <w:tcBorders>
              <w:top w:val="single" w:sz="4" w:space="0" w:color="auto"/>
              <w:left w:val="nil"/>
              <w:bottom w:val="single" w:sz="4" w:space="0" w:color="auto"/>
              <w:right w:val="single" w:sz="4" w:space="0" w:color="auto"/>
            </w:tcBorders>
            <w:vAlign w:val="center"/>
          </w:tcPr>
          <w:p w14:paraId="16C2207B" w14:textId="1CE82206" w:rsidR="007A7274" w:rsidRPr="00AE36F0" w:rsidRDefault="007A7274" w:rsidP="007A7274">
            <w:pPr>
              <w:jc w:val="right"/>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3,087,336,241.94</w:t>
            </w:r>
          </w:p>
        </w:tc>
        <w:tc>
          <w:tcPr>
            <w:tcW w:w="2120" w:type="dxa"/>
            <w:tcBorders>
              <w:top w:val="single" w:sz="4" w:space="0" w:color="auto"/>
              <w:left w:val="nil"/>
              <w:bottom w:val="single" w:sz="4" w:space="0" w:color="auto"/>
              <w:right w:val="single" w:sz="4" w:space="0" w:color="auto"/>
            </w:tcBorders>
            <w:vAlign w:val="center"/>
          </w:tcPr>
          <w:p w14:paraId="3064C29C" w14:textId="649C6C0A" w:rsidR="007A7274" w:rsidRPr="00AE36F0" w:rsidRDefault="007A7274" w:rsidP="007A7274">
            <w:pPr>
              <w:jc w:val="right"/>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1,309,084,154.48</w:t>
            </w:r>
          </w:p>
        </w:tc>
        <w:tc>
          <w:tcPr>
            <w:tcW w:w="1983" w:type="dxa"/>
            <w:tcBorders>
              <w:top w:val="single" w:sz="4" w:space="0" w:color="auto"/>
              <w:left w:val="nil"/>
              <w:bottom w:val="single" w:sz="4" w:space="0" w:color="auto"/>
              <w:right w:val="single" w:sz="4" w:space="0" w:color="auto"/>
            </w:tcBorders>
            <w:vAlign w:val="center"/>
          </w:tcPr>
          <w:p w14:paraId="248AAFCB" w14:textId="208AE3F3" w:rsidR="007A7274" w:rsidRPr="00AE36F0" w:rsidRDefault="007A7274" w:rsidP="007A7274">
            <w:pPr>
              <w:jc w:val="right"/>
              <w:rPr>
                <w:rFonts w:ascii="Montserrat" w:eastAsia="Times New Roman" w:hAnsi="Montserrat" w:cs="Calibri"/>
                <w:b/>
                <w:bCs/>
                <w:color w:val="000000"/>
                <w:sz w:val="20"/>
                <w:szCs w:val="20"/>
                <w:lang w:val="es-MX"/>
              </w:rPr>
            </w:pPr>
            <w:r w:rsidRPr="00AE36F0">
              <w:rPr>
                <w:rFonts w:ascii="Montserrat" w:hAnsi="Montserrat" w:cs="Calibri"/>
                <w:b/>
                <w:bCs/>
                <w:color w:val="000000"/>
                <w:sz w:val="20"/>
                <w:szCs w:val="20"/>
              </w:rPr>
              <w:t>-1,778,252,087.46</w:t>
            </w:r>
          </w:p>
        </w:tc>
      </w:tr>
    </w:tbl>
    <w:p w14:paraId="3EF6ADA5" w14:textId="7F594D51" w:rsidR="00076F11" w:rsidRPr="00AE36F0" w:rsidRDefault="00076F11" w:rsidP="00076F11">
      <w:pPr>
        <w:widowControl w:val="0"/>
        <w:jc w:val="both"/>
        <w:rPr>
          <w:rFonts w:ascii="Montserrat" w:eastAsia="Times New Roman" w:hAnsi="Montserrat" w:cs="Arial"/>
        </w:rPr>
      </w:pPr>
    </w:p>
    <w:p w14:paraId="46D9F9AD"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no cuenta con organismos descentralizados de control presupuestario indirecto</w:t>
      </w:r>
    </w:p>
    <w:p w14:paraId="101BCF48" w14:textId="77777777" w:rsidR="00B0059B" w:rsidRPr="00AE36F0" w:rsidRDefault="00B0059B" w:rsidP="00B0059B">
      <w:pPr>
        <w:tabs>
          <w:tab w:val="left" w:pos="7260"/>
        </w:tabs>
        <w:jc w:val="both"/>
        <w:rPr>
          <w:rFonts w:ascii="Montserrat" w:eastAsia="Times New Roman" w:hAnsi="Montserrat" w:cs="Arial"/>
        </w:rPr>
      </w:pPr>
    </w:p>
    <w:p w14:paraId="15EBC76A"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Inversiones en empresas de participación mayoritaria.</w:t>
      </w:r>
    </w:p>
    <w:p w14:paraId="114DE136"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no cuenta con inversiones en empresas de participación mayoritaria</w:t>
      </w:r>
    </w:p>
    <w:p w14:paraId="73C594D4" w14:textId="77777777" w:rsidR="00B0059B" w:rsidRPr="00AE36F0" w:rsidRDefault="00B0059B" w:rsidP="00B0059B">
      <w:pPr>
        <w:tabs>
          <w:tab w:val="left" w:pos="7260"/>
        </w:tabs>
        <w:jc w:val="both"/>
        <w:rPr>
          <w:rFonts w:ascii="Montserrat" w:eastAsia="Times New Roman" w:hAnsi="Montserrat" w:cs="Arial"/>
        </w:rPr>
      </w:pPr>
    </w:p>
    <w:p w14:paraId="7DEB7C67" w14:textId="77777777" w:rsidR="00B0059B" w:rsidRPr="00AE36F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Estado de Oaxaca no cuenta con inversiones en empresas de participación minoritaria</w:t>
      </w:r>
    </w:p>
    <w:p w14:paraId="06FCB7D5" w14:textId="77777777" w:rsidR="00912EC3" w:rsidRPr="00AE36F0" w:rsidRDefault="00912EC3" w:rsidP="00B0059B">
      <w:pPr>
        <w:tabs>
          <w:tab w:val="left" w:pos="7260"/>
        </w:tabs>
        <w:jc w:val="both"/>
        <w:rPr>
          <w:rFonts w:ascii="Montserrat" w:eastAsia="Times New Roman" w:hAnsi="Montserrat" w:cs="Arial"/>
        </w:rPr>
      </w:pPr>
    </w:p>
    <w:p w14:paraId="3159A180" w14:textId="77777777" w:rsidR="00912EC3" w:rsidRPr="00AE36F0"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AE36F0">
        <w:rPr>
          <w:rFonts w:ascii="Montserrat" w:eastAsia="Times New Roman" w:hAnsi="Montserrat" w:cs="Arial"/>
          <w:sz w:val="24"/>
          <w:szCs w:val="24"/>
          <w:lang w:val="es-ES" w:eastAsia="es-MX"/>
        </w:rPr>
        <w:t>Patrimonio de Organismos Descentralizados de Control Presupuestario Directo, según corresponda.</w:t>
      </w:r>
    </w:p>
    <w:p w14:paraId="56957D65" w14:textId="204872E4" w:rsidR="00912EC3" w:rsidRPr="00AE36F0" w:rsidRDefault="00912EC3" w:rsidP="00912EC3">
      <w:pPr>
        <w:tabs>
          <w:tab w:val="left" w:pos="7260"/>
        </w:tabs>
        <w:jc w:val="both"/>
        <w:rPr>
          <w:rFonts w:ascii="Montserrat" w:eastAsia="Times New Roman" w:hAnsi="Montserrat" w:cs="Arial"/>
        </w:rPr>
      </w:pPr>
      <w:r w:rsidRPr="00AE36F0">
        <w:rPr>
          <w:rFonts w:ascii="Montserrat" w:eastAsia="Times New Roman" w:hAnsi="Montserrat" w:cs="Arial"/>
        </w:rPr>
        <w:t xml:space="preserve">A continuación, se muestra la lista de Organismos Descentralizados de Control Presupuestario Directo con el patrimonio al </w:t>
      </w:r>
      <w:r w:rsidR="00FA1CDB" w:rsidRPr="00AE36F0">
        <w:rPr>
          <w:rFonts w:ascii="Montserrat" w:eastAsia="Times New Roman" w:hAnsi="Montserrat" w:cs="Arial"/>
        </w:rPr>
        <w:t>0</w:t>
      </w:r>
      <w:r w:rsidR="00621D14" w:rsidRPr="00AE36F0">
        <w:rPr>
          <w:rFonts w:ascii="Montserrat" w:eastAsia="Times New Roman" w:hAnsi="Montserrat" w:cs="Arial"/>
        </w:rPr>
        <w:t>1</w:t>
      </w:r>
      <w:r w:rsidRPr="00AE36F0">
        <w:rPr>
          <w:rFonts w:ascii="Montserrat" w:eastAsia="Times New Roman" w:hAnsi="Montserrat" w:cs="Arial"/>
        </w:rPr>
        <w:t xml:space="preserve"> de </w:t>
      </w:r>
      <w:r w:rsidR="00CA6080" w:rsidRPr="00AE36F0">
        <w:rPr>
          <w:rFonts w:ascii="Montserrat" w:eastAsia="Times New Roman" w:hAnsi="Montserrat" w:cs="Arial"/>
        </w:rPr>
        <w:t xml:space="preserve">enero </w:t>
      </w:r>
      <w:r w:rsidRPr="00AE36F0">
        <w:rPr>
          <w:rFonts w:ascii="Montserrat" w:eastAsia="Times New Roman" w:hAnsi="Montserrat" w:cs="Arial"/>
        </w:rPr>
        <w:t>de 202</w:t>
      </w:r>
      <w:r w:rsidR="00CA6080" w:rsidRPr="00AE36F0">
        <w:rPr>
          <w:rFonts w:ascii="Montserrat" w:eastAsia="Times New Roman" w:hAnsi="Montserrat" w:cs="Arial"/>
        </w:rPr>
        <w:t xml:space="preserve">5 </w:t>
      </w:r>
      <w:r w:rsidRPr="00AE36F0">
        <w:rPr>
          <w:rFonts w:ascii="Montserrat" w:eastAsia="Times New Roman" w:hAnsi="Montserrat" w:cs="Arial"/>
        </w:rPr>
        <w:t xml:space="preserve">y </w:t>
      </w:r>
      <w:r w:rsidR="00CA6080" w:rsidRPr="00AE36F0">
        <w:rPr>
          <w:rFonts w:ascii="Montserrat" w:eastAsia="Times New Roman" w:hAnsi="Montserrat" w:cs="Arial"/>
        </w:rPr>
        <w:lastRenderedPageBreak/>
        <w:t xml:space="preserve">al </w:t>
      </w:r>
      <w:r w:rsidR="00FA1CDB" w:rsidRPr="00AE36F0">
        <w:rPr>
          <w:rFonts w:ascii="Montserrat" w:eastAsia="Times New Roman" w:hAnsi="Montserrat" w:cs="Arial"/>
        </w:rPr>
        <w:t>3</w:t>
      </w:r>
      <w:r w:rsidR="007A7274" w:rsidRPr="00AE36F0">
        <w:rPr>
          <w:rFonts w:ascii="Montserrat" w:eastAsia="Times New Roman" w:hAnsi="Montserrat" w:cs="Arial"/>
        </w:rPr>
        <w:t>1</w:t>
      </w:r>
      <w:r w:rsidR="00FA1CDB" w:rsidRPr="00AE36F0">
        <w:rPr>
          <w:rFonts w:ascii="Montserrat" w:eastAsia="Times New Roman" w:hAnsi="Montserrat" w:cs="Arial"/>
        </w:rPr>
        <w:t xml:space="preserve"> de </w:t>
      </w:r>
      <w:r w:rsidR="007A7274" w:rsidRPr="00AE36F0">
        <w:rPr>
          <w:rFonts w:ascii="Montserrat" w:eastAsia="Times New Roman" w:hAnsi="Montserrat" w:cs="Arial"/>
        </w:rPr>
        <w:t xml:space="preserve">diciembre </w:t>
      </w:r>
      <w:r w:rsidR="00FA1CDB" w:rsidRPr="00AE36F0">
        <w:rPr>
          <w:rFonts w:ascii="Montserrat" w:eastAsia="Times New Roman" w:hAnsi="Montserrat" w:cs="Arial"/>
        </w:rPr>
        <w:t>de 2025</w:t>
      </w:r>
      <w:r w:rsidRPr="00AE36F0">
        <w:rPr>
          <w:rFonts w:ascii="Montserrat" w:eastAsia="Times New Roman" w:hAnsi="Montserrat" w:cs="Arial"/>
        </w:rPr>
        <w:t>, así como su variación</w:t>
      </w:r>
      <w:r w:rsidR="00CA6080" w:rsidRPr="00AE36F0">
        <w:rPr>
          <w:rFonts w:ascii="Montserrat" w:eastAsia="Times New Roman" w:hAnsi="Montserrat" w:cs="Arial"/>
        </w:rPr>
        <w:t xml:space="preserve">; </w:t>
      </w:r>
      <w:r w:rsidRPr="00AE36F0">
        <w:rPr>
          <w:rFonts w:ascii="Montserrat" w:eastAsia="Times New Roman" w:hAnsi="Montserrat" w:cs="Arial"/>
        </w:rPr>
        <w:t xml:space="preserve">las explicaciones de </w:t>
      </w:r>
      <w:r w:rsidR="00CA6080" w:rsidRPr="00AE36F0">
        <w:rPr>
          <w:rFonts w:ascii="Montserrat" w:eastAsia="Times New Roman" w:hAnsi="Montserrat" w:cs="Arial"/>
        </w:rPr>
        <w:t>las</w:t>
      </w:r>
      <w:r w:rsidRPr="00AE36F0">
        <w:rPr>
          <w:rFonts w:ascii="Montserrat" w:eastAsia="Times New Roman" w:hAnsi="Montserrat" w:cs="Arial"/>
        </w:rPr>
        <w:t xml:space="preserve"> variaciones se encontrarán en las notas a los estados financieros correspondiente a cada uno de ellos dentro del Tomo V de</w:t>
      </w:r>
      <w:r w:rsidR="001B6D22">
        <w:rPr>
          <w:rFonts w:ascii="Montserrat" w:eastAsia="Times New Roman" w:hAnsi="Montserrat" w:cs="Arial"/>
        </w:rPr>
        <w:t xml:space="preserve"> </w:t>
      </w:r>
      <w:r w:rsidRPr="00AE36F0">
        <w:rPr>
          <w:rFonts w:ascii="Montserrat" w:eastAsia="Times New Roman" w:hAnsi="Montserrat" w:cs="Arial"/>
        </w:rPr>
        <w:t>l</w:t>
      </w:r>
      <w:r w:rsidR="001B6D22">
        <w:rPr>
          <w:rFonts w:ascii="Montserrat" w:eastAsia="Times New Roman" w:hAnsi="Montserrat" w:cs="Arial"/>
        </w:rPr>
        <w:t>a Cuenta Pública</w:t>
      </w:r>
      <w:r w:rsidRPr="00AE36F0">
        <w:rPr>
          <w:rFonts w:ascii="Montserrat" w:eastAsia="Times New Roman" w:hAnsi="Montserrat" w:cs="Arial"/>
        </w:rPr>
        <w:t xml:space="preserve"> de 202</w:t>
      </w:r>
      <w:r w:rsidR="001051D7" w:rsidRPr="00AE36F0">
        <w:rPr>
          <w:rFonts w:ascii="Montserrat" w:eastAsia="Times New Roman" w:hAnsi="Montserrat" w:cs="Arial"/>
        </w:rPr>
        <w:t>5</w:t>
      </w:r>
      <w:r w:rsidRPr="00AE36F0">
        <w:rPr>
          <w:rFonts w:ascii="Montserrat" w:eastAsia="Times New Roman" w:hAnsi="Montserrat" w:cs="Arial"/>
        </w:rPr>
        <w:t>:</w:t>
      </w:r>
    </w:p>
    <w:p w14:paraId="0CA2C696" w14:textId="77777777" w:rsidR="00912EC3" w:rsidRPr="00AE36F0" w:rsidRDefault="00912EC3" w:rsidP="00B0059B">
      <w:pPr>
        <w:tabs>
          <w:tab w:val="left" w:pos="7260"/>
        </w:tabs>
        <w:jc w:val="both"/>
        <w:rPr>
          <w:rFonts w:ascii="Montserrat" w:eastAsia="Times New Roman" w:hAnsi="Montserrat" w:cs="Arial"/>
        </w:rPr>
      </w:pPr>
    </w:p>
    <w:tbl>
      <w:tblPr>
        <w:tblW w:w="9346" w:type="dxa"/>
        <w:tblCellMar>
          <w:left w:w="70" w:type="dxa"/>
          <w:right w:w="70" w:type="dxa"/>
        </w:tblCellMar>
        <w:tblLook w:val="04A0" w:firstRow="1" w:lastRow="0" w:firstColumn="1" w:lastColumn="0" w:noHBand="0" w:noVBand="1"/>
      </w:tblPr>
      <w:tblGrid>
        <w:gridCol w:w="841"/>
        <w:gridCol w:w="3544"/>
        <w:gridCol w:w="1701"/>
        <w:gridCol w:w="1701"/>
        <w:gridCol w:w="1559"/>
      </w:tblGrid>
      <w:tr w:rsidR="00CA6080" w:rsidRPr="00AE36F0" w14:paraId="4AAB98F7" w14:textId="77777777" w:rsidTr="00B72A61">
        <w:trPr>
          <w:trHeight w:val="915"/>
          <w:tblHeader/>
        </w:trPr>
        <w:tc>
          <w:tcPr>
            <w:tcW w:w="84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5CD964" w14:textId="028A9683" w:rsidR="00CA6080" w:rsidRPr="00AE36F0" w:rsidRDefault="00CA6080" w:rsidP="00B72A61">
            <w:pPr>
              <w:jc w:val="center"/>
              <w:rPr>
                <w:rFonts w:ascii="Montserrat" w:eastAsia="Times New Roman" w:hAnsi="Montserrat" w:cs="Calibri"/>
                <w:b/>
                <w:bCs/>
                <w:sz w:val="20"/>
                <w:szCs w:val="20"/>
                <w:lang w:val="es-MX"/>
              </w:rPr>
            </w:pPr>
            <w:r w:rsidRPr="00AE36F0">
              <w:rPr>
                <w:rFonts w:ascii="Montserrat" w:hAnsi="Montserrat"/>
                <w:b/>
                <w:bCs/>
                <w:sz w:val="20"/>
                <w:szCs w:val="20"/>
              </w:rPr>
              <w:t>UR</w:t>
            </w:r>
          </w:p>
        </w:tc>
        <w:tc>
          <w:tcPr>
            <w:tcW w:w="3544" w:type="dxa"/>
            <w:tcBorders>
              <w:top w:val="single" w:sz="8" w:space="0" w:color="auto"/>
              <w:left w:val="nil"/>
              <w:bottom w:val="single" w:sz="8" w:space="0" w:color="auto"/>
              <w:right w:val="single" w:sz="8" w:space="0" w:color="auto"/>
            </w:tcBorders>
            <w:shd w:val="clear" w:color="000000" w:fill="BFBFBF"/>
            <w:vAlign w:val="center"/>
            <w:hideMark/>
          </w:tcPr>
          <w:p w14:paraId="480C863A" w14:textId="7E8692FC"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NOMBRE</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2386420D" w14:textId="2736C6FF"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SALDO AL 01 DE ENERO DE 2025</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70A0C489" w14:textId="56C89A75"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SALDO AL 3</w:t>
            </w:r>
            <w:r w:rsidR="00651FA9" w:rsidRPr="00AE36F0">
              <w:rPr>
                <w:rFonts w:ascii="Montserrat" w:hAnsi="Montserrat"/>
                <w:b/>
                <w:bCs/>
                <w:sz w:val="20"/>
                <w:szCs w:val="20"/>
              </w:rPr>
              <w:t>1</w:t>
            </w:r>
            <w:r w:rsidRPr="00AE36F0">
              <w:rPr>
                <w:rFonts w:ascii="Montserrat" w:hAnsi="Montserrat"/>
                <w:b/>
                <w:bCs/>
                <w:sz w:val="20"/>
                <w:szCs w:val="20"/>
              </w:rPr>
              <w:t xml:space="preserve"> DE </w:t>
            </w:r>
            <w:r w:rsidR="00651FA9" w:rsidRPr="00AE36F0">
              <w:rPr>
                <w:rFonts w:ascii="Montserrat" w:hAnsi="Montserrat"/>
                <w:b/>
                <w:bCs/>
                <w:sz w:val="20"/>
                <w:szCs w:val="20"/>
              </w:rPr>
              <w:t>DICIEMBRE</w:t>
            </w:r>
            <w:r w:rsidRPr="00AE36F0">
              <w:rPr>
                <w:rFonts w:ascii="Montserrat" w:hAnsi="Montserrat"/>
                <w:b/>
                <w:bCs/>
                <w:sz w:val="20"/>
                <w:szCs w:val="20"/>
              </w:rPr>
              <w:t xml:space="preserve"> DE 2025</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62A0B779" w14:textId="103930C7" w:rsidR="00CA6080" w:rsidRPr="00AE36F0" w:rsidRDefault="00CA6080" w:rsidP="00B72A61">
            <w:pPr>
              <w:jc w:val="center"/>
              <w:rPr>
                <w:rFonts w:ascii="Montserrat" w:eastAsia="Times New Roman" w:hAnsi="Montserrat" w:cs="Calibri"/>
                <w:b/>
                <w:bCs/>
                <w:color w:val="000000"/>
                <w:sz w:val="20"/>
                <w:szCs w:val="20"/>
                <w:lang w:val="es-MX"/>
              </w:rPr>
            </w:pPr>
            <w:r w:rsidRPr="00AE36F0">
              <w:rPr>
                <w:rFonts w:ascii="Montserrat" w:hAnsi="Montserrat"/>
                <w:b/>
                <w:bCs/>
                <w:sz w:val="20"/>
                <w:szCs w:val="20"/>
              </w:rPr>
              <w:t>DIFERENCIA</w:t>
            </w:r>
          </w:p>
        </w:tc>
      </w:tr>
      <w:tr w:rsidR="00651FA9" w:rsidRPr="00AE36F0" w14:paraId="4C09A899"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41806CF" w14:textId="4A2DF77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501</w:t>
            </w:r>
          </w:p>
        </w:tc>
        <w:tc>
          <w:tcPr>
            <w:tcW w:w="3544" w:type="dxa"/>
            <w:tcBorders>
              <w:top w:val="nil"/>
              <w:left w:val="nil"/>
              <w:bottom w:val="single" w:sz="8" w:space="0" w:color="auto"/>
              <w:right w:val="single" w:sz="8" w:space="0" w:color="auto"/>
            </w:tcBorders>
            <w:vAlign w:val="center"/>
            <w:hideMark/>
          </w:tcPr>
          <w:p w14:paraId="18CA0D31" w14:textId="1101B8F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CAMINOS BIENESTAR</w:t>
            </w:r>
          </w:p>
        </w:tc>
        <w:tc>
          <w:tcPr>
            <w:tcW w:w="1701" w:type="dxa"/>
            <w:tcBorders>
              <w:top w:val="nil"/>
              <w:left w:val="nil"/>
              <w:bottom w:val="single" w:sz="8" w:space="0" w:color="auto"/>
              <w:right w:val="single" w:sz="8" w:space="0" w:color="auto"/>
            </w:tcBorders>
            <w:vAlign w:val="center"/>
            <w:hideMark/>
          </w:tcPr>
          <w:p w14:paraId="1A68CA0C" w14:textId="3AEEA41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1,559,895,286</w:t>
            </w:r>
          </w:p>
        </w:tc>
        <w:tc>
          <w:tcPr>
            <w:tcW w:w="1701" w:type="dxa"/>
            <w:tcBorders>
              <w:top w:val="nil"/>
              <w:left w:val="nil"/>
              <w:bottom w:val="single" w:sz="8" w:space="0" w:color="auto"/>
              <w:right w:val="single" w:sz="8" w:space="0" w:color="auto"/>
            </w:tcBorders>
            <w:vAlign w:val="center"/>
            <w:hideMark/>
          </w:tcPr>
          <w:p w14:paraId="411BFF82" w14:textId="4B6A82E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1,609,874,402</w:t>
            </w:r>
          </w:p>
        </w:tc>
        <w:tc>
          <w:tcPr>
            <w:tcW w:w="1559" w:type="dxa"/>
            <w:tcBorders>
              <w:top w:val="nil"/>
              <w:left w:val="nil"/>
              <w:bottom w:val="single" w:sz="8" w:space="0" w:color="auto"/>
              <w:right w:val="single" w:sz="8" w:space="0" w:color="auto"/>
            </w:tcBorders>
            <w:vAlign w:val="center"/>
            <w:hideMark/>
          </w:tcPr>
          <w:p w14:paraId="6A25ED33" w14:textId="3A47C8C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49,979,116</w:t>
            </w:r>
          </w:p>
        </w:tc>
      </w:tr>
      <w:tr w:rsidR="00651FA9" w:rsidRPr="00AE36F0" w14:paraId="60C987AD"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995E514" w14:textId="5136C54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502</w:t>
            </w:r>
          </w:p>
        </w:tc>
        <w:tc>
          <w:tcPr>
            <w:tcW w:w="3544" w:type="dxa"/>
            <w:tcBorders>
              <w:top w:val="nil"/>
              <w:left w:val="nil"/>
              <w:bottom w:val="single" w:sz="8" w:space="0" w:color="auto"/>
              <w:right w:val="single" w:sz="8" w:space="0" w:color="auto"/>
            </w:tcBorders>
            <w:vAlign w:val="center"/>
            <w:hideMark/>
          </w:tcPr>
          <w:p w14:paraId="7681EE87" w14:textId="120B348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CASA DE LA CULTURA OAXAQUEÑA</w:t>
            </w:r>
          </w:p>
        </w:tc>
        <w:tc>
          <w:tcPr>
            <w:tcW w:w="1701" w:type="dxa"/>
            <w:tcBorders>
              <w:top w:val="nil"/>
              <w:left w:val="nil"/>
              <w:bottom w:val="single" w:sz="8" w:space="0" w:color="auto"/>
              <w:right w:val="single" w:sz="8" w:space="0" w:color="auto"/>
            </w:tcBorders>
            <w:vAlign w:val="center"/>
            <w:hideMark/>
          </w:tcPr>
          <w:p w14:paraId="71A8AF12" w14:textId="7A7482B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1,988,368</w:t>
            </w:r>
          </w:p>
        </w:tc>
        <w:tc>
          <w:tcPr>
            <w:tcW w:w="1701" w:type="dxa"/>
            <w:tcBorders>
              <w:top w:val="nil"/>
              <w:left w:val="nil"/>
              <w:bottom w:val="single" w:sz="8" w:space="0" w:color="auto"/>
              <w:right w:val="single" w:sz="8" w:space="0" w:color="auto"/>
            </w:tcBorders>
            <w:vAlign w:val="center"/>
            <w:hideMark/>
          </w:tcPr>
          <w:p w14:paraId="6F513375" w14:textId="020CB5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2,308,694</w:t>
            </w:r>
          </w:p>
        </w:tc>
        <w:tc>
          <w:tcPr>
            <w:tcW w:w="1559" w:type="dxa"/>
            <w:tcBorders>
              <w:top w:val="nil"/>
              <w:left w:val="nil"/>
              <w:bottom w:val="single" w:sz="8" w:space="0" w:color="auto"/>
              <w:right w:val="single" w:sz="8" w:space="0" w:color="auto"/>
            </w:tcBorders>
            <w:vAlign w:val="center"/>
            <w:hideMark/>
          </w:tcPr>
          <w:p w14:paraId="192FFB54" w14:textId="0722FC4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320,326</w:t>
            </w:r>
          </w:p>
        </w:tc>
      </w:tr>
      <w:tr w:rsidR="00651FA9" w:rsidRPr="00AE36F0" w14:paraId="51A75753"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E66E099" w14:textId="3DAE7CE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504</w:t>
            </w:r>
          </w:p>
        </w:tc>
        <w:tc>
          <w:tcPr>
            <w:tcW w:w="3544" w:type="dxa"/>
            <w:tcBorders>
              <w:top w:val="nil"/>
              <w:left w:val="nil"/>
              <w:bottom w:val="single" w:sz="8" w:space="0" w:color="auto"/>
              <w:right w:val="single" w:sz="8" w:space="0" w:color="auto"/>
            </w:tcBorders>
            <w:vAlign w:val="center"/>
            <w:hideMark/>
          </w:tcPr>
          <w:p w14:paraId="3BC324E0" w14:textId="61C4B07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CENTRO DE LAS ARTES DE SAN AGUSTÍN</w:t>
            </w:r>
          </w:p>
        </w:tc>
        <w:tc>
          <w:tcPr>
            <w:tcW w:w="1701" w:type="dxa"/>
            <w:tcBorders>
              <w:top w:val="nil"/>
              <w:left w:val="nil"/>
              <w:bottom w:val="single" w:sz="8" w:space="0" w:color="auto"/>
              <w:right w:val="single" w:sz="8" w:space="0" w:color="auto"/>
            </w:tcBorders>
            <w:vAlign w:val="center"/>
            <w:hideMark/>
          </w:tcPr>
          <w:p w14:paraId="486A704E" w14:textId="6095607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2,761,229</w:t>
            </w:r>
          </w:p>
        </w:tc>
        <w:tc>
          <w:tcPr>
            <w:tcW w:w="1701" w:type="dxa"/>
            <w:tcBorders>
              <w:top w:val="nil"/>
              <w:left w:val="nil"/>
              <w:bottom w:val="single" w:sz="8" w:space="0" w:color="auto"/>
              <w:right w:val="single" w:sz="8" w:space="0" w:color="auto"/>
            </w:tcBorders>
            <w:vAlign w:val="center"/>
            <w:hideMark/>
          </w:tcPr>
          <w:p w14:paraId="36632C64" w14:textId="6A9550A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2,046,998</w:t>
            </w:r>
          </w:p>
        </w:tc>
        <w:tc>
          <w:tcPr>
            <w:tcW w:w="1559" w:type="dxa"/>
            <w:tcBorders>
              <w:top w:val="nil"/>
              <w:left w:val="nil"/>
              <w:bottom w:val="single" w:sz="8" w:space="0" w:color="auto"/>
              <w:right w:val="single" w:sz="8" w:space="0" w:color="auto"/>
            </w:tcBorders>
            <w:vAlign w:val="center"/>
            <w:hideMark/>
          </w:tcPr>
          <w:p w14:paraId="15AAB9D2" w14:textId="6568B1C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-714,231</w:t>
            </w:r>
          </w:p>
        </w:tc>
      </w:tr>
      <w:tr w:rsidR="00651FA9" w:rsidRPr="00AE36F0" w14:paraId="056827EE"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BCDE12C" w14:textId="2CF0967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506</w:t>
            </w:r>
          </w:p>
        </w:tc>
        <w:tc>
          <w:tcPr>
            <w:tcW w:w="3544" w:type="dxa"/>
            <w:tcBorders>
              <w:top w:val="nil"/>
              <w:left w:val="nil"/>
              <w:bottom w:val="single" w:sz="8" w:space="0" w:color="auto"/>
              <w:right w:val="single" w:sz="8" w:space="0" w:color="auto"/>
            </w:tcBorders>
            <w:vAlign w:val="center"/>
            <w:hideMark/>
          </w:tcPr>
          <w:p w14:paraId="44441C8A" w14:textId="306600BF"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COLEGIO DE BACHILLERES DEL ESTADO DE OAXACA</w:t>
            </w:r>
          </w:p>
        </w:tc>
        <w:tc>
          <w:tcPr>
            <w:tcW w:w="1701" w:type="dxa"/>
            <w:tcBorders>
              <w:top w:val="nil"/>
              <w:left w:val="nil"/>
              <w:bottom w:val="single" w:sz="8" w:space="0" w:color="auto"/>
              <w:right w:val="single" w:sz="8" w:space="0" w:color="auto"/>
            </w:tcBorders>
            <w:vAlign w:val="center"/>
            <w:hideMark/>
          </w:tcPr>
          <w:p w14:paraId="0407C5E2" w14:textId="6C1EDB2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226,777,358</w:t>
            </w:r>
          </w:p>
        </w:tc>
        <w:tc>
          <w:tcPr>
            <w:tcW w:w="1701" w:type="dxa"/>
            <w:tcBorders>
              <w:top w:val="nil"/>
              <w:left w:val="nil"/>
              <w:bottom w:val="single" w:sz="8" w:space="0" w:color="auto"/>
              <w:right w:val="single" w:sz="8" w:space="0" w:color="auto"/>
            </w:tcBorders>
            <w:vAlign w:val="center"/>
            <w:hideMark/>
          </w:tcPr>
          <w:p w14:paraId="393F2A39" w14:textId="6D18123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198,797,708</w:t>
            </w:r>
          </w:p>
        </w:tc>
        <w:tc>
          <w:tcPr>
            <w:tcW w:w="1559" w:type="dxa"/>
            <w:tcBorders>
              <w:top w:val="nil"/>
              <w:left w:val="nil"/>
              <w:bottom w:val="single" w:sz="8" w:space="0" w:color="auto"/>
              <w:right w:val="single" w:sz="8" w:space="0" w:color="auto"/>
            </w:tcBorders>
            <w:vAlign w:val="center"/>
            <w:hideMark/>
          </w:tcPr>
          <w:p w14:paraId="47438C3F" w14:textId="21FF752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-27,979,650</w:t>
            </w:r>
          </w:p>
        </w:tc>
      </w:tr>
      <w:tr w:rsidR="00651FA9" w:rsidRPr="00AE36F0" w14:paraId="5A63F2E2" w14:textId="77777777" w:rsidTr="00B72A61">
        <w:trPr>
          <w:trHeight w:val="727"/>
        </w:trPr>
        <w:tc>
          <w:tcPr>
            <w:tcW w:w="841" w:type="dxa"/>
            <w:tcBorders>
              <w:top w:val="nil"/>
              <w:left w:val="single" w:sz="8" w:space="0" w:color="auto"/>
              <w:bottom w:val="single" w:sz="8" w:space="0" w:color="auto"/>
              <w:right w:val="single" w:sz="8" w:space="0" w:color="auto"/>
            </w:tcBorders>
            <w:vAlign w:val="center"/>
            <w:hideMark/>
          </w:tcPr>
          <w:p w14:paraId="07D07D2D" w14:textId="695281B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507</w:t>
            </w:r>
          </w:p>
        </w:tc>
        <w:tc>
          <w:tcPr>
            <w:tcW w:w="3544" w:type="dxa"/>
            <w:tcBorders>
              <w:top w:val="nil"/>
              <w:left w:val="nil"/>
              <w:bottom w:val="single" w:sz="8" w:space="0" w:color="auto"/>
              <w:right w:val="single" w:sz="8" w:space="0" w:color="auto"/>
            </w:tcBorders>
            <w:vAlign w:val="center"/>
            <w:hideMark/>
          </w:tcPr>
          <w:p w14:paraId="645EE529" w14:textId="3107F62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COLEGIO DE ESTUDIOS CIENTÍFICOS Y TECNOLÓGICOS DEL ESTADO DE OAXACA</w:t>
            </w:r>
          </w:p>
        </w:tc>
        <w:tc>
          <w:tcPr>
            <w:tcW w:w="1701" w:type="dxa"/>
            <w:tcBorders>
              <w:top w:val="nil"/>
              <w:left w:val="nil"/>
              <w:bottom w:val="single" w:sz="8" w:space="0" w:color="auto"/>
              <w:right w:val="single" w:sz="8" w:space="0" w:color="auto"/>
            </w:tcBorders>
            <w:vAlign w:val="center"/>
            <w:hideMark/>
          </w:tcPr>
          <w:p w14:paraId="278A507B" w14:textId="319AD0A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1,488,805,430</w:t>
            </w:r>
          </w:p>
        </w:tc>
        <w:tc>
          <w:tcPr>
            <w:tcW w:w="1701" w:type="dxa"/>
            <w:tcBorders>
              <w:top w:val="nil"/>
              <w:left w:val="nil"/>
              <w:bottom w:val="single" w:sz="8" w:space="0" w:color="auto"/>
              <w:right w:val="single" w:sz="8" w:space="0" w:color="auto"/>
            </w:tcBorders>
            <w:vAlign w:val="center"/>
            <w:hideMark/>
          </w:tcPr>
          <w:p w14:paraId="003E3875" w14:textId="2A0BB51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1,504,760,243</w:t>
            </w:r>
          </w:p>
        </w:tc>
        <w:tc>
          <w:tcPr>
            <w:tcW w:w="1559" w:type="dxa"/>
            <w:tcBorders>
              <w:top w:val="nil"/>
              <w:left w:val="nil"/>
              <w:bottom w:val="single" w:sz="8" w:space="0" w:color="auto"/>
              <w:right w:val="single" w:sz="8" w:space="0" w:color="auto"/>
            </w:tcBorders>
            <w:vAlign w:val="center"/>
            <w:hideMark/>
          </w:tcPr>
          <w:p w14:paraId="6E0895B3" w14:textId="1968A69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15,954,814</w:t>
            </w:r>
          </w:p>
        </w:tc>
      </w:tr>
      <w:tr w:rsidR="00651FA9" w:rsidRPr="00AE36F0" w14:paraId="0A4FC02C" w14:textId="77777777" w:rsidTr="00B72A61">
        <w:trPr>
          <w:trHeight w:val="681"/>
        </w:trPr>
        <w:tc>
          <w:tcPr>
            <w:tcW w:w="841" w:type="dxa"/>
            <w:tcBorders>
              <w:top w:val="nil"/>
              <w:left w:val="single" w:sz="8" w:space="0" w:color="auto"/>
              <w:bottom w:val="single" w:sz="8" w:space="0" w:color="auto"/>
              <w:right w:val="single" w:sz="8" w:space="0" w:color="auto"/>
            </w:tcBorders>
            <w:vAlign w:val="center"/>
            <w:hideMark/>
          </w:tcPr>
          <w:p w14:paraId="47699DE5" w14:textId="60CD09C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508</w:t>
            </w:r>
          </w:p>
        </w:tc>
        <w:tc>
          <w:tcPr>
            <w:tcW w:w="3544" w:type="dxa"/>
            <w:tcBorders>
              <w:top w:val="nil"/>
              <w:left w:val="nil"/>
              <w:bottom w:val="single" w:sz="8" w:space="0" w:color="auto"/>
              <w:right w:val="single" w:sz="8" w:space="0" w:color="auto"/>
            </w:tcBorders>
            <w:vAlign w:val="center"/>
            <w:hideMark/>
          </w:tcPr>
          <w:p w14:paraId="39DB3335" w14:textId="50D91314"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COLEGIO SUPERIOR PARA LA EDUCACIÓN INTEGRAL INTERCULTURAL DE OAXACA</w:t>
            </w:r>
          </w:p>
        </w:tc>
        <w:tc>
          <w:tcPr>
            <w:tcW w:w="1701" w:type="dxa"/>
            <w:tcBorders>
              <w:top w:val="nil"/>
              <w:left w:val="nil"/>
              <w:bottom w:val="single" w:sz="8" w:space="0" w:color="auto"/>
              <w:right w:val="single" w:sz="8" w:space="0" w:color="auto"/>
            </w:tcBorders>
            <w:vAlign w:val="center"/>
            <w:hideMark/>
          </w:tcPr>
          <w:p w14:paraId="29484A01" w14:textId="3687E61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13,337,721</w:t>
            </w:r>
          </w:p>
        </w:tc>
        <w:tc>
          <w:tcPr>
            <w:tcW w:w="1701" w:type="dxa"/>
            <w:tcBorders>
              <w:top w:val="nil"/>
              <w:left w:val="nil"/>
              <w:bottom w:val="single" w:sz="8" w:space="0" w:color="auto"/>
              <w:right w:val="single" w:sz="8" w:space="0" w:color="auto"/>
            </w:tcBorders>
            <w:vAlign w:val="center"/>
            <w:hideMark/>
          </w:tcPr>
          <w:p w14:paraId="554BC25B" w14:textId="012CC8D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14,265,641</w:t>
            </w:r>
          </w:p>
        </w:tc>
        <w:tc>
          <w:tcPr>
            <w:tcW w:w="1559" w:type="dxa"/>
            <w:tcBorders>
              <w:top w:val="nil"/>
              <w:left w:val="nil"/>
              <w:bottom w:val="single" w:sz="8" w:space="0" w:color="auto"/>
              <w:right w:val="single" w:sz="8" w:space="0" w:color="auto"/>
            </w:tcBorders>
            <w:vAlign w:val="center"/>
            <w:hideMark/>
          </w:tcPr>
          <w:p w14:paraId="566C0D86" w14:textId="4DC1F01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927,921</w:t>
            </w:r>
          </w:p>
        </w:tc>
      </w:tr>
      <w:tr w:rsidR="00651FA9" w:rsidRPr="00AE36F0" w14:paraId="177A670E"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08C2071" w14:textId="0617C3D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511</w:t>
            </w:r>
          </w:p>
        </w:tc>
        <w:tc>
          <w:tcPr>
            <w:tcW w:w="3544" w:type="dxa"/>
            <w:tcBorders>
              <w:top w:val="nil"/>
              <w:left w:val="nil"/>
              <w:bottom w:val="single" w:sz="8" w:space="0" w:color="auto"/>
              <w:right w:val="single" w:sz="8" w:space="0" w:color="auto"/>
            </w:tcBorders>
            <w:vAlign w:val="center"/>
            <w:hideMark/>
          </w:tcPr>
          <w:p w14:paraId="0AC55B55" w14:textId="54C49E16"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VIVIENDA BIENESTAR</w:t>
            </w:r>
          </w:p>
        </w:tc>
        <w:tc>
          <w:tcPr>
            <w:tcW w:w="1701" w:type="dxa"/>
            <w:tcBorders>
              <w:top w:val="nil"/>
              <w:left w:val="nil"/>
              <w:bottom w:val="single" w:sz="8" w:space="0" w:color="auto"/>
              <w:right w:val="single" w:sz="8" w:space="0" w:color="auto"/>
            </w:tcBorders>
            <w:vAlign w:val="center"/>
            <w:hideMark/>
          </w:tcPr>
          <w:p w14:paraId="504D7BE8" w14:textId="7196592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511,184,227</w:t>
            </w:r>
          </w:p>
        </w:tc>
        <w:tc>
          <w:tcPr>
            <w:tcW w:w="1701" w:type="dxa"/>
            <w:tcBorders>
              <w:top w:val="nil"/>
              <w:left w:val="nil"/>
              <w:bottom w:val="single" w:sz="8" w:space="0" w:color="auto"/>
              <w:right w:val="single" w:sz="8" w:space="0" w:color="auto"/>
            </w:tcBorders>
            <w:vAlign w:val="center"/>
            <w:hideMark/>
          </w:tcPr>
          <w:p w14:paraId="47975DAE" w14:textId="302EF59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316,694,652</w:t>
            </w:r>
          </w:p>
        </w:tc>
        <w:tc>
          <w:tcPr>
            <w:tcW w:w="1559" w:type="dxa"/>
            <w:tcBorders>
              <w:top w:val="nil"/>
              <w:left w:val="nil"/>
              <w:bottom w:val="single" w:sz="8" w:space="0" w:color="auto"/>
              <w:right w:val="single" w:sz="8" w:space="0" w:color="auto"/>
            </w:tcBorders>
            <w:vAlign w:val="center"/>
            <w:hideMark/>
          </w:tcPr>
          <w:p w14:paraId="14F1B35B" w14:textId="7A91CFD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-194,489,575</w:t>
            </w:r>
          </w:p>
        </w:tc>
      </w:tr>
      <w:tr w:rsidR="00651FA9" w:rsidRPr="00AE36F0" w14:paraId="363DCE3E"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4DD03204" w14:textId="6990997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512</w:t>
            </w:r>
          </w:p>
        </w:tc>
        <w:tc>
          <w:tcPr>
            <w:tcW w:w="3544" w:type="dxa"/>
            <w:tcBorders>
              <w:top w:val="nil"/>
              <w:left w:val="nil"/>
              <w:bottom w:val="single" w:sz="8" w:space="0" w:color="auto"/>
              <w:right w:val="single" w:sz="8" w:space="0" w:color="auto"/>
            </w:tcBorders>
            <w:vAlign w:val="center"/>
            <w:hideMark/>
          </w:tcPr>
          <w:p w14:paraId="471BAA8E" w14:textId="6BE37C3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DEL AGUA PARA EL BIENESTAR</w:t>
            </w:r>
          </w:p>
        </w:tc>
        <w:tc>
          <w:tcPr>
            <w:tcW w:w="1701" w:type="dxa"/>
            <w:tcBorders>
              <w:top w:val="nil"/>
              <w:left w:val="nil"/>
              <w:bottom w:val="single" w:sz="8" w:space="0" w:color="auto"/>
              <w:right w:val="single" w:sz="8" w:space="0" w:color="auto"/>
            </w:tcBorders>
            <w:vAlign w:val="center"/>
            <w:hideMark/>
          </w:tcPr>
          <w:p w14:paraId="0B6AE108" w14:textId="2230918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1,766,371,064</w:t>
            </w:r>
          </w:p>
        </w:tc>
        <w:tc>
          <w:tcPr>
            <w:tcW w:w="1701" w:type="dxa"/>
            <w:tcBorders>
              <w:top w:val="nil"/>
              <w:left w:val="nil"/>
              <w:bottom w:val="single" w:sz="8" w:space="0" w:color="auto"/>
              <w:right w:val="single" w:sz="8" w:space="0" w:color="auto"/>
            </w:tcBorders>
            <w:vAlign w:val="center"/>
            <w:hideMark/>
          </w:tcPr>
          <w:p w14:paraId="1E47A269" w14:textId="568438F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2,052,447,888</w:t>
            </w:r>
          </w:p>
        </w:tc>
        <w:tc>
          <w:tcPr>
            <w:tcW w:w="1559" w:type="dxa"/>
            <w:tcBorders>
              <w:top w:val="nil"/>
              <w:left w:val="nil"/>
              <w:bottom w:val="single" w:sz="8" w:space="0" w:color="auto"/>
              <w:right w:val="single" w:sz="8" w:space="0" w:color="auto"/>
            </w:tcBorders>
            <w:vAlign w:val="center"/>
            <w:hideMark/>
          </w:tcPr>
          <w:p w14:paraId="3D2E59F5" w14:textId="6151233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286,076,825</w:t>
            </w:r>
          </w:p>
        </w:tc>
      </w:tr>
      <w:tr w:rsidR="00651FA9" w:rsidRPr="00AE36F0" w14:paraId="5FE62A17"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7C1DE9E0" w14:textId="147711E0"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513</w:t>
            </w:r>
          </w:p>
        </w:tc>
        <w:tc>
          <w:tcPr>
            <w:tcW w:w="3544" w:type="dxa"/>
            <w:tcBorders>
              <w:top w:val="nil"/>
              <w:left w:val="nil"/>
              <w:bottom w:val="single" w:sz="8" w:space="0" w:color="auto"/>
              <w:right w:val="single" w:sz="8" w:space="0" w:color="auto"/>
            </w:tcBorders>
            <w:vAlign w:val="center"/>
            <w:hideMark/>
          </w:tcPr>
          <w:p w14:paraId="22A22FE9" w14:textId="0268268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FORESTAL</w:t>
            </w:r>
          </w:p>
        </w:tc>
        <w:tc>
          <w:tcPr>
            <w:tcW w:w="1701" w:type="dxa"/>
            <w:tcBorders>
              <w:top w:val="nil"/>
              <w:left w:val="nil"/>
              <w:bottom w:val="single" w:sz="8" w:space="0" w:color="auto"/>
              <w:right w:val="single" w:sz="8" w:space="0" w:color="auto"/>
            </w:tcBorders>
            <w:vAlign w:val="center"/>
            <w:hideMark/>
          </w:tcPr>
          <w:p w14:paraId="4314C919" w14:textId="531ABA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17,591,580</w:t>
            </w:r>
          </w:p>
        </w:tc>
        <w:tc>
          <w:tcPr>
            <w:tcW w:w="1701" w:type="dxa"/>
            <w:tcBorders>
              <w:top w:val="nil"/>
              <w:left w:val="nil"/>
              <w:bottom w:val="single" w:sz="8" w:space="0" w:color="auto"/>
              <w:right w:val="single" w:sz="8" w:space="0" w:color="auto"/>
            </w:tcBorders>
            <w:vAlign w:val="center"/>
            <w:hideMark/>
          </w:tcPr>
          <w:p w14:paraId="0F739A8D" w14:textId="7ED8459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27,873,498</w:t>
            </w:r>
          </w:p>
        </w:tc>
        <w:tc>
          <w:tcPr>
            <w:tcW w:w="1559" w:type="dxa"/>
            <w:tcBorders>
              <w:top w:val="nil"/>
              <w:left w:val="nil"/>
              <w:bottom w:val="single" w:sz="8" w:space="0" w:color="auto"/>
              <w:right w:val="single" w:sz="8" w:space="0" w:color="auto"/>
            </w:tcBorders>
            <w:vAlign w:val="center"/>
            <w:hideMark/>
          </w:tcPr>
          <w:p w14:paraId="60FCDE39" w14:textId="0EE7FFE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10,281,918</w:t>
            </w:r>
          </w:p>
        </w:tc>
      </w:tr>
      <w:tr w:rsidR="00651FA9" w:rsidRPr="00AE36F0" w14:paraId="53FE3AD5" w14:textId="77777777" w:rsidTr="00B72A61">
        <w:trPr>
          <w:trHeight w:val="592"/>
        </w:trPr>
        <w:tc>
          <w:tcPr>
            <w:tcW w:w="841" w:type="dxa"/>
            <w:tcBorders>
              <w:top w:val="nil"/>
              <w:left w:val="single" w:sz="8" w:space="0" w:color="auto"/>
              <w:bottom w:val="single" w:sz="8" w:space="0" w:color="auto"/>
              <w:right w:val="single" w:sz="8" w:space="0" w:color="auto"/>
            </w:tcBorders>
            <w:vAlign w:val="center"/>
            <w:hideMark/>
          </w:tcPr>
          <w:p w14:paraId="1BE99816" w14:textId="6F4F7D6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515</w:t>
            </w:r>
          </w:p>
        </w:tc>
        <w:tc>
          <w:tcPr>
            <w:tcW w:w="3544" w:type="dxa"/>
            <w:tcBorders>
              <w:top w:val="nil"/>
              <w:left w:val="nil"/>
              <w:bottom w:val="single" w:sz="8" w:space="0" w:color="auto"/>
              <w:right w:val="single" w:sz="8" w:space="0" w:color="auto"/>
            </w:tcBorders>
            <w:vAlign w:val="center"/>
            <w:hideMark/>
          </w:tcPr>
          <w:p w14:paraId="6B7C54C3" w14:textId="6C0DF8B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PARA LA PLANEACIÓN Y PROGRAMACIÓN DE LA EDUCACIÓN MEDIA SUPERIOR DEL ESTADO DE OAXACA (EXTINTO DECRETO NÚM. 1719)</w:t>
            </w:r>
          </w:p>
        </w:tc>
        <w:tc>
          <w:tcPr>
            <w:tcW w:w="1701" w:type="dxa"/>
            <w:tcBorders>
              <w:top w:val="nil"/>
              <w:left w:val="nil"/>
              <w:bottom w:val="single" w:sz="8" w:space="0" w:color="auto"/>
              <w:right w:val="single" w:sz="8" w:space="0" w:color="auto"/>
            </w:tcBorders>
            <w:vAlign w:val="center"/>
            <w:hideMark/>
          </w:tcPr>
          <w:p w14:paraId="1BCCB5B4" w14:textId="3B9CFC8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36,488</w:t>
            </w:r>
          </w:p>
        </w:tc>
        <w:tc>
          <w:tcPr>
            <w:tcW w:w="1701" w:type="dxa"/>
            <w:tcBorders>
              <w:top w:val="nil"/>
              <w:left w:val="nil"/>
              <w:bottom w:val="single" w:sz="8" w:space="0" w:color="auto"/>
              <w:right w:val="single" w:sz="8" w:space="0" w:color="auto"/>
            </w:tcBorders>
            <w:vAlign w:val="center"/>
            <w:hideMark/>
          </w:tcPr>
          <w:p w14:paraId="17636D6B" w14:textId="26E09E5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802,428</w:t>
            </w:r>
          </w:p>
        </w:tc>
        <w:tc>
          <w:tcPr>
            <w:tcW w:w="1559" w:type="dxa"/>
            <w:tcBorders>
              <w:top w:val="nil"/>
              <w:left w:val="nil"/>
              <w:bottom w:val="single" w:sz="8" w:space="0" w:color="auto"/>
              <w:right w:val="single" w:sz="8" w:space="0" w:color="auto"/>
            </w:tcBorders>
            <w:vAlign w:val="center"/>
            <w:hideMark/>
          </w:tcPr>
          <w:p w14:paraId="5C697018" w14:textId="05F4C63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765,940</w:t>
            </w:r>
          </w:p>
        </w:tc>
      </w:tr>
      <w:tr w:rsidR="00651FA9" w:rsidRPr="00AE36F0" w14:paraId="0A46CA42" w14:textId="77777777" w:rsidTr="00B72A61">
        <w:trPr>
          <w:trHeight w:val="464"/>
        </w:trPr>
        <w:tc>
          <w:tcPr>
            <w:tcW w:w="841" w:type="dxa"/>
            <w:tcBorders>
              <w:top w:val="nil"/>
              <w:left w:val="single" w:sz="8" w:space="0" w:color="auto"/>
              <w:bottom w:val="single" w:sz="8" w:space="0" w:color="auto"/>
              <w:right w:val="single" w:sz="8" w:space="0" w:color="auto"/>
            </w:tcBorders>
            <w:vAlign w:val="center"/>
            <w:hideMark/>
          </w:tcPr>
          <w:p w14:paraId="5B23EFB8" w14:textId="291171D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516</w:t>
            </w:r>
          </w:p>
        </w:tc>
        <w:tc>
          <w:tcPr>
            <w:tcW w:w="3544" w:type="dxa"/>
            <w:tcBorders>
              <w:top w:val="nil"/>
              <w:left w:val="nil"/>
              <w:bottom w:val="single" w:sz="8" w:space="0" w:color="auto"/>
              <w:right w:val="single" w:sz="8" w:space="0" w:color="auto"/>
            </w:tcBorders>
            <w:vAlign w:val="center"/>
            <w:hideMark/>
          </w:tcPr>
          <w:p w14:paraId="0CB046BB" w14:textId="4275E07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PARA LA REGULARIZACIÓN DE LA TENENCIA DE LA TIERRA URBANA DEL ESTADO DE OAXACA</w:t>
            </w:r>
          </w:p>
        </w:tc>
        <w:tc>
          <w:tcPr>
            <w:tcW w:w="1701" w:type="dxa"/>
            <w:tcBorders>
              <w:top w:val="nil"/>
              <w:left w:val="nil"/>
              <w:bottom w:val="single" w:sz="8" w:space="0" w:color="auto"/>
              <w:right w:val="single" w:sz="8" w:space="0" w:color="auto"/>
            </w:tcBorders>
            <w:vAlign w:val="center"/>
            <w:hideMark/>
          </w:tcPr>
          <w:p w14:paraId="61962216" w14:textId="3774EF4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207,109</w:t>
            </w:r>
          </w:p>
        </w:tc>
        <w:tc>
          <w:tcPr>
            <w:tcW w:w="1701" w:type="dxa"/>
            <w:tcBorders>
              <w:top w:val="nil"/>
              <w:left w:val="nil"/>
              <w:bottom w:val="single" w:sz="8" w:space="0" w:color="auto"/>
              <w:right w:val="single" w:sz="8" w:space="0" w:color="auto"/>
            </w:tcBorders>
            <w:vAlign w:val="center"/>
            <w:hideMark/>
          </w:tcPr>
          <w:p w14:paraId="57A6A1FF" w14:textId="32DF894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736,100</w:t>
            </w:r>
          </w:p>
        </w:tc>
        <w:tc>
          <w:tcPr>
            <w:tcW w:w="1559" w:type="dxa"/>
            <w:tcBorders>
              <w:top w:val="nil"/>
              <w:left w:val="nil"/>
              <w:bottom w:val="single" w:sz="8" w:space="0" w:color="auto"/>
              <w:right w:val="single" w:sz="8" w:space="0" w:color="auto"/>
            </w:tcBorders>
            <w:vAlign w:val="center"/>
            <w:hideMark/>
          </w:tcPr>
          <w:p w14:paraId="2EA1A514" w14:textId="4B741CB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528,991</w:t>
            </w:r>
          </w:p>
        </w:tc>
      </w:tr>
      <w:tr w:rsidR="00651FA9" w:rsidRPr="00AE36F0" w14:paraId="2B233531"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58C9FF38" w14:textId="718CAB7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517</w:t>
            </w:r>
          </w:p>
        </w:tc>
        <w:tc>
          <w:tcPr>
            <w:tcW w:w="3544" w:type="dxa"/>
            <w:tcBorders>
              <w:top w:val="nil"/>
              <w:left w:val="nil"/>
              <w:bottom w:val="single" w:sz="8" w:space="0" w:color="auto"/>
              <w:right w:val="single" w:sz="8" w:space="0" w:color="auto"/>
            </w:tcBorders>
            <w:vAlign w:val="center"/>
            <w:hideMark/>
          </w:tcPr>
          <w:p w14:paraId="5850FEDA" w14:textId="4A84AA0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CONSEJO ESTATAL PARA LA PREVENCIÓN Y CONTROL DEL SIDA</w:t>
            </w:r>
          </w:p>
        </w:tc>
        <w:tc>
          <w:tcPr>
            <w:tcW w:w="1701" w:type="dxa"/>
            <w:tcBorders>
              <w:top w:val="nil"/>
              <w:left w:val="nil"/>
              <w:bottom w:val="single" w:sz="8" w:space="0" w:color="auto"/>
              <w:right w:val="single" w:sz="8" w:space="0" w:color="auto"/>
            </w:tcBorders>
            <w:vAlign w:val="center"/>
            <w:hideMark/>
          </w:tcPr>
          <w:p w14:paraId="364DE689" w14:textId="64AAEA3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21,707,792</w:t>
            </w:r>
          </w:p>
        </w:tc>
        <w:tc>
          <w:tcPr>
            <w:tcW w:w="1701" w:type="dxa"/>
            <w:tcBorders>
              <w:top w:val="nil"/>
              <w:left w:val="nil"/>
              <w:bottom w:val="single" w:sz="8" w:space="0" w:color="auto"/>
              <w:right w:val="single" w:sz="8" w:space="0" w:color="auto"/>
            </w:tcBorders>
            <w:vAlign w:val="center"/>
            <w:hideMark/>
          </w:tcPr>
          <w:p w14:paraId="6591DA7A" w14:textId="7352F9B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21,651,570</w:t>
            </w:r>
          </w:p>
        </w:tc>
        <w:tc>
          <w:tcPr>
            <w:tcW w:w="1559" w:type="dxa"/>
            <w:tcBorders>
              <w:top w:val="nil"/>
              <w:left w:val="nil"/>
              <w:bottom w:val="single" w:sz="8" w:space="0" w:color="auto"/>
              <w:right w:val="single" w:sz="8" w:space="0" w:color="auto"/>
            </w:tcBorders>
            <w:vAlign w:val="center"/>
            <w:hideMark/>
          </w:tcPr>
          <w:p w14:paraId="277769D1" w14:textId="2B91921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-56,222</w:t>
            </w:r>
          </w:p>
        </w:tc>
      </w:tr>
      <w:tr w:rsidR="00651FA9" w:rsidRPr="00AE36F0" w14:paraId="33FA3BD2"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0BC7079" w14:textId="5AA7788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lastRenderedPageBreak/>
              <w:t>519</w:t>
            </w:r>
          </w:p>
        </w:tc>
        <w:tc>
          <w:tcPr>
            <w:tcW w:w="3544" w:type="dxa"/>
            <w:tcBorders>
              <w:top w:val="nil"/>
              <w:left w:val="nil"/>
              <w:bottom w:val="single" w:sz="8" w:space="0" w:color="auto"/>
              <w:right w:val="single" w:sz="8" w:space="0" w:color="auto"/>
            </w:tcBorders>
            <w:vAlign w:val="center"/>
            <w:hideMark/>
          </w:tcPr>
          <w:p w14:paraId="58337300" w14:textId="3094E41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CONSEJO OAXAQUEÑO DE CIENCIA, TECNOLOGÍA E INNOVACIÓN.</w:t>
            </w:r>
          </w:p>
        </w:tc>
        <w:tc>
          <w:tcPr>
            <w:tcW w:w="1701" w:type="dxa"/>
            <w:tcBorders>
              <w:top w:val="nil"/>
              <w:left w:val="nil"/>
              <w:bottom w:val="single" w:sz="8" w:space="0" w:color="auto"/>
              <w:right w:val="single" w:sz="8" w:space="0" w:color="auto"/>
            </w:tcBorders>
            <w:vAlign w:val="center"/>
            <w:hideMark/>
          </w:tcPr>
          <w:p w14:paraId="48CFA4D0" w14:textId="1BD031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339,163</w:t>
            </w:r>
          </w:p>
        </w:tc>
        <w:tc>
          <w:tcPr>
            <w:tcW w:w="1701" w:type="dxa"/>
            <w:tcBorders>
              <w:top w:val="nil"/>
              <w:left w:val="nil"/>
              <w:bottom w:val="single" w:sz="8" w:space="0" w:color="auto"/>
              <w:right w:val="single" w:sz="8" w:space="0" w:color="auto"/>
            </w:tcBorders>
            <w:vAlign w:val="center"/>
            <w:hideMark/>
          </w:tcPr>
          <w:p w14:paraId="60F28E63" w14:textId="74F4792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334,813</w:t>
            </w:r>
          </w:p>
        </w:tc>
        <w:tc>
          <w:tcPr>
            <w:tcW w:w="1559" w:type="dxa"/>
            <w:tcBorders>
              <w:top w:val="nil"/>
              <w:left w:val="nil"/>
              <w:bottom w:val="single" w:sz="8" w:space="0" w:color="auto"/>
              <w:right w:val="single" w:sz="8" w:space="0" w:color="auto"/>
            </w:tcBorders>
            <w:vAlign w:val="center"/>
            <w:hideMark/>
          </w:tcPr>
          <w:p w14:paraId="544D491A" w14:textId="31D8BF9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-4,350</w:t>
            </w:r>
          </w:p>
        </w:tc>
      </w:tr>
      <w:tr w:rsidR="00651FA9" w:rsidRPr="00AE36F0" w14:paraId="688331EB" w14:textId="77777777" w:rsidTr="00B72A61">
        <w:trPr>
          <w:trHeight w:val="574"/>
        </w:trPr>
        <w:tc>
          <w:tcPr>
            <w:tcW w:w="841" w:type="dxa"/>
            <w:tcBorders>
              <w:top w:val="nil"/>
              <w:left w:val="single" w:sz="8" w:space="0" w:color="auto"/>
              <w:bottom w:val="single" w:sz="8" w:space="0" w:color="auto"/>
              <w:right w:val="single" w:sz="8" w:space="0" w:color="auto"/>
            </w:tcBorders>
            <w:vAlign w:val="center"/>
            <w:hideMark/>
          </w:tcPr>
          <w:p w14:paraId="21D5A4CF" w14:textId="099C3A1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520</w:t>
            </w:r>
          </w:p>
        </w:tc>
        <w:tc>
          <w:tcPr>
            <w:tcW w:w="3544" w:type="dxa"/>
            <w:tcBorders>
              <w:top w:val="nil"/>
              <w:left w:val="nil"/>
              <w:bottom w:val="single" w:sz="8" w:space="0" w:color="auto"/>
              <w:right w:val="single" w:sz="8" w:space="0" w:color="auto"/>
            </w:tcBorders>
            <w:vAlign w:val="center"/>
            <w:hideMark/>
          </w:tcPr>
          <w:p w14:paraId="1C20518C" w14:textId="17A0711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COORDINACIÓN ESTATAL DE PROTECCIÓN CIVIL Y GESTIÓN DE RIESGOS</w:t>
            </w:r>
          </w:p>
        </w:tc>
        <w:tc>
          <w:tcPr>
            <w:tcW w:w="1701" w:type="dxa"/>
            <w:tcBorders>
              <w:top w:val="nil"/>
              <w:left w:val="nil"/>
              <w:bottom w:val="single" w:sz="8" w:space="0" w:color="auto"/>
              <w:right w:val="single" w:sz="8" w:space="0" w:color="auto"/>
            </w:tcBorders>
            <w:vAlign w:val="center"/>
            <w:hideMark/>
          </w:tcPr>
          <w:p w14:paraId="1EE5321E" w14:textId="7C73594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2,588,796</w:t>
            </w:r>
          </w:p>
        </w:tc>
        <w:tc>
          <w:tcPr>
            <w:tcW w:w="1701" w:type="dxa"/>
            <w:tcBorders>
              <w:top w:val="nil"/>
              <w:left w:val="nil"/>
              <w:bottom w:val="single" w:sz="8" w:space="0" w:color="auto"/>
              <w:right w:val="single" w:sz="8" w:space="0" w:color="auto"/>
            </w:tcBorders>
            <w:vAlign w:val="center"/>
            <w:hideMark/>
          </w:tcPr>
          <w:p w14:paraId="59C05C99" w14:textId="2B6942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3,300,797</w:t>
            </w:r>
          </w:p>
        </w:tc>
        <w:tc>
          <w:tcPr>
            <w:tcW w:w="1559" w:type="dxa"/>
            <w:tcBorders>
              <w:top w:val="nil"/>
              <w:left w:val="nil"/>
              <w:bottom w:val="single" w:sz="8" w:space="0" w:color="auto"/>
              <w:right w:val="single" w:sz="8" w:space="0" w:color="auto"/>
            </w:tcBorders>
            <w:vAlign w:val="center"/>
            <w:hideMark/>
          </w:tcPr>
          <w:p w14:paraId="43AD4029" w14:textId="40AAD58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712,001</w:t>
            </w:r>
          </w:p>
        </w:tc>
      </w:tr>
      <w:tr w:rsidR="00651FA9" w:rsidRPr="00AE36F0" w14:paraId="346C8E32"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C1EFA16" w14:textId="15FEE58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521</w:t>
            </w:r>
          </w:p>
        </w:tc>
        <w:tc>
          <w:tcPr>
            <w:tcW w:w="3544" w:type="dxa"/>
            <w:tcBorders>
              <w:top w:val="nil"/>
              <w:left w:val="nil"/>
              <w:bottom w:val="single" w:sz="8" w:space="0" w:color="auto"/>
              <w:right w:val="single" w:sz="8" w:space="0" w:color="auto"/>
            </w:tcBorders>
            <w:vAlign w:val="center"/>
            <w:hideMark/>
          </w:tcPr>
          <w:p w14:paraId="1B6CDF2F" w14:textId="0DF0364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CORPORACIÓN OAXAQUEÑA DE RADIO Y TELEVISIÓN</w:t>
            </w:r>
          </w:p>
        </w:tc>
        <w:tc>
          <w:tcPr>
            <w:tcW w:w="1701" w:type="dxa"/>
            <w:tcBorders>
              <w:top w:val="nil"/>
              <w:left w:val="nil"/>
              <w:bottom w:val="single" w:sz="8" w:space="0" w:color="auto"/>
              <w:right w:val="single" w:sz="8" w:space="0" w:color="auto"/>
            </w:tcBorders>
            <w:vAlign w:val="center"/>
            <w:hideMark/>
          </w:tcPr>
          <w:p w14:paraId="3ABAC299" w14:textId="72C21F2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214,418,855</w:t>
            </w:r>
          </w:p>
        </w:tc>
        <w:tc>
          <w:tcPr>
            <w:tcW w:w="1701" w:type="dxa"/>
            <w:tcBorders>
              <w:top w:val="nil"/>
              <w:left w:val="nil"/>
              <w:bottom w:val="single" w:sz="8" w:space="0" w:color="auto"/>
              <w:right w:val="single" w:sz="8" w:space="0" w:color="auto"/>
            </w:tcBorders>
            <w:vAlign w:val="center"/>
            <w:hideMark/>
          </w:tcPr>
          <w:p w14:paraId="29C84E16" w14:textId="57D875E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189,298,771</w:t>
            </w:r>
          </w:p>
        </w:tc>
        <w:tc>
          <w:tcPr>
            <w:tcW w:w="1559" w:type="dxa"/>
            <w:tcBorders>
              <w:top w:val="nil"/>
              <w:left w:val="nil"/>
              <w:bottom w:val="single" w:sz="8" w:space="0" w:color="auto"/>
              <w:right w:val="single" w:sz="8" w:space="0" w:color="auto"/>
            </w:tcBorders>
            <w:vAlign w:val="center"/>
            <w:hideMark/>
          </w:tcPr>
          <w:p w14:paraId="0468680E" w14:textId="25DACCB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-25,120,084</w:t>
            </w:r>
          </w:p>
        </w:tc>
      </w:tr>
      <w:tr w:rsidR="00651FA9" w:rsidRPr="00AE36F0" w14:paraId="140EBD2F"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397D4FA" w14:textId="78F2184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523</w:t>
            </w:r>
          </w:p>
        </w:tc>
        <w:tc>
          <w:tcPr>
            <w:tcW w:w="3544" w:type="dxa"/>
            <w:tcBorders>
              <w:top w:val="nil"/>
              <w:left w:val="nil"/>
              <w:bottom w:val="single" w:sz="8" w:space="0" w:color="auto"/>
              <w:right w:val="single" w:sz="8" w:space="0" w:color="auto"/>
            </w:tcBorders>
            <w:vAlign w:val="center"/>
            <w:hideMark/>
          </w:tcPr>
          <w:p w14:paraId="32D2593B" w14:textId="6B4F8FD9"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HOSPITAL DE LA NIÑEZ OAXAQUEÑA</w:t>
            </w:r>
          </w:p>
        </w:tc>
        <w:tc>
          <w:tcPr>
            <w:tcW w:w="1701" w:type="dxa"/>
            <w:tcBorders>
              <w:top w:val="nil"/>
              <w:left w:val="nil"/>
              <w:bottom w:val="single" w:sz="8" w:space="0" w:color="auto"/>
              <w:right w:val="single" w:sz="8" w:space="0" w:color="auto"/>
            </w:tcBorders>
            <w:vAlign w:val="center"/>
            <w:hideMark/>
          </w:tcPr>
          <w:p w14:paraId="4AB6012D" w14:textId="678E6EF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77,567,911</w:t>
            </w:r>
          </w:p>
        </w:tc>
        <w:tc>
          <w:tcPr>
            <w:tcW w:w="1701" w:type="dxa"/>
            <w:tcBorders>
              <w:top w:val="nil"/>
              <w:left w:val="nil"/>
              <w:bottom w:val="single" w:sz="8" w:space="0" w:color="auto"/>
              <w:right w:val="single" w:sz="8" w:space="0" w:color="auto"/>
            </w:tcBorders>
            <w:vAlign w:val="center"/>
            <w:hideMark/>
          </w:tcPr>
          <w:p w14:paraId="435805E5" w14:textId="0BD380B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74,939,078</w:t>
            </w:r>
          </w:p>
        </w:tc>
        <w:tc>
          <w:tcPr>
            <w:tcW w:w="1559" w:type="dxa"/>
            <w:tcBorders>
              <w:top w:val="nil"/>
              <w:left w:val="nil"/>
              <w:bottom w:val="single" w:sz="8" w:space="0" w:color="auto"/>
              <w:right w:val="single" w:sz="8" w:space="0" w:color="auto"/>
            </w:tcBorders>
            <w:vAlign w:val="center"/>
            <w:hideMark/>
          </w:tcPr>
          <w:p w14:paraId="22E70746" w14:textId="7215AC8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-2,628,833</w:t>
            </w:r>
          </w:p>
        </w:tc>
      </w:tr>
      <w:tr w:rsidR="00651FA9" w:rsidRPr="00AE36F0" w14:paraId="494B1CD3" w14:textId="77777777" w:rsidTr="00B72A61">
        <w:trPr>
          <w:trHeight w:val="640"/>
        </w:trPr>
        <w:tc>
          <w:tcPr>
            <w:tcW w:w="841" w:type="dxa"/>
            <w:tcBorders>
              <w:top w:val="nil"/>
              <w:left w:val="single" w:sz="8" w:space="0" w:color="auto"/>
              <w:bottom w:val="single" w:sz="8" w:space="0" w:color="auto"/>
              <w:right w:val="single" w:sz="8" w:space="0" w:color="auto"/>
            </w:tcBorders>
            <w:vAlign w:val="center"/>
            <w:hideMark/>
          </w:tcPr>
          <w:p w14:paraId="147C62C2" w14:textId="352DE398"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524</w:t>
            </w:r>
          </w:p>
        </w:tc>
        <w:tc>
          <w:tcPr>
            <w:tcW w:w="3544" w:type="dxa"/>
            <w:tcBorders>
              <w:top w:val="nil"/>
              <w:left w:val="nil"/>
              <w:bottom w:val="single" w:sz="8" w:space="0" w:color="auto"/>
              <w:right w:val="single" w:sz="8" w:space="0" w:color="auto"/>
            </w:tcBorders>
            <w:vAlign w:val="center"/>
            <w:hideMark/>
          </w:tcPr>
          <w:p w14:paraId="02E5662D" w14:textId="3ED57103"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CAPACITACIÓN Y PRODUCTIVIDAD PARA EL TRABAJO DEL ESTADO DE OAXACA</w:t>
            </w:r>
          </w:p>
        </w:tc>
        <w:tc>
          <w:tcPr>
            <w:tcW w:w="1701" w:type="dxa"/>
            <w:tcBorders>
              <w:top w:val="nil"/>
              <w:left w:val="nil"/>
              <w:bottom w:val="single" w:sz="8" w:space="0" w:color="auto"/>
              <w:right w:val="single" w:sz="8" w:space="0" w:color="auto"/>
            </w:tcBorders>
            <w:vAlign w:val="center"/>
            <w:hideMark/>
          </w:tcPr>
          <w:p w14:paraId="358D7A94" w14:textId="1EAC4F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57,565,907</w:t>
            </w:r>
          </w:p>
        </w:tc>
        <w:tc>
          <w:tcPr>
            <w:tcW w:w="1701" w:type="dxa"/>
            <w:tcBorders>
              <w:top w:val="nil"/>
              <w:left w:val="nil"/>
              <w:bottom w:val="single" w:sz="8" w:space="0" w:color="auto"/>
              <w:right w:val="single" w:sz="8" w:space="0" w:color="auto"/>
            </w:tcBorders>
            <w:vAlign w:val="center"/>
            <w:hideMark/>
          </w:tcPr>
          <w:p w14:paraId="0FA45C62" w14:textId="175E4D9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59,629,110</w:t>
            </w:r>
          </w:p>
        </w:tc>
        <w:tc>
          <w:tcPr>
            <w:tcW w:w="1559" w:type="dxa"/>
            <w:tcBorders>
              <w:top w:val="nil"/>
              <w:left w:val="nil"/>
              <w:bottom w:val="single" w:sz="8" w:space="0" w:color="auto"/>
              <w:right w:val="single" w:sz="8" w:space="0" w:color="auto"/>
            </w:tcBorders>
            <w:vAlign w:val="center"/>
            <w:hideMark/>
          </w:tcPr>
          <w:p w14:paraId="2F78D333" w14:textId="32B793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2,063,203</w:t>
            </w:r>
          </w:p>
        </w:tc>
      </w:tr>
      <w:tr w:rsidR="00651FA9" w:rsidRPr="00AE36F0" w14:paraId="41AB5099" w14:textId="77777777" w:rsidTr="00B72A61">
        <w:trPr>
          <w:trHeight w:val="679"/>
        </w:trPr>
        <w:tc>
          <w:tcPr>
            <w:tcW w:w="841" w:type="dxa"/>
            <w:tcBorders>
              <w:top w:val="nil"/>
              <w:left w:val="single" w:sz="8" w:space="0" w:color="auto"/>
              <w:bottom w:val="single" w:sz="8" w:space="0" w:color="auto"/>
              <w:right w:val="single" w:sz="8" w:space="0" w:color="auto"/>
            </w:tcBorders>
            <w:vAlign w:val="center"/>
            <w:hideMark/>
          </w:tcPr>
          <w:p w14:paraId="619DA790" w14:textId="3EF54300"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525</w:t>
            </w:r>
          </w:p>
        </w:tc>
        <w:tc>
          <w:tcPr>
            <w:tcW w:w="3544" w:type="dxa"/>
            <w:tcBorders>
              <w:top w:val="nil"/>
              <w:left w:val="nil"/>
              <w:bottom w:val="single" w:sz="8" w:space="0" w:color="auto"/>
              <w:right w:val="single" w:sz="8" w:space="0" w:color="auto"/>
            </w:tcBorders>
            <w:vAlign w:val="center"/>
            <w:hideMark/>
          </w:tcPr>
          <w:p w14:paraId="78322224" w14:textId="550DDA2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ESTUDIOS DE BACHILLERATO DEL ESTADO DE OAXACA</w:t>
            </w:r>
          </w:p>
        </w:tc>
        <w:tc>
          <w:tcPr>
            <w:tcW w:w="1701" w:type="dxa"/>
            <w:tcBorders>
              <w:top w:val="nil"/>
              <w:left w:val="nil"/>
              <w:bottom w:val="single" w:sz="8" w:space="0" w:color="auto"/>
              <w:right w:val="single" w:sz="8" w:space="0" w:color="auto"/>
            </w:tcBorders>
            <w:vAlign w:val="center"/>
            <w:hideMark/>
          </w:tcPr>
          <w:p w14:paraId="3654AF52" w14:textId="721E373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20,856,941</w:t>
            </w:r>
          </w:p>
        </w:tc>
        <w:tc>
          <w:tcPr>
            <w:tcW w:w="1701" w:type="dxa"/>
            <w:tcBorders>
              <w:top w:val="nil"/>
              <w:left w:val="nil"/>
              <w:bottom w:val="single" w:sz="8" w:space="0" w:color="auto"/>
              <w:right w:val="single" w:sz="8" w:space="0" w:color="auto"/>
            </w:tcBorders>
            <w:vAlign w:val="center"/>
            <w:hideMark/>
          </w:tcPr>
          <w:p w14:paraId="69D6BA86" w14:textId="618E475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19,161,970</w:t>
            </w:r>
          </w:p>
        </w:tc>
        <w:tc>
          <w:tcPr>
            <w:tcW w:w="1559" w:type="dxa"/>
            <w:tcBorders>
              <w:top w:val="nil"/>
              <w:left w:val="nil"/>
              <w:bottom w:val="single" w:sz="8" w:space="0" w:color="auto"/>
              <w:right w:val="single" w:sz="8" w:space="0" w:color="auto"/>
            </w:tcBorders>
            <w:vAlign w:val="center"/>
            <w:hideMark/>
          </w:tcPr>
          <w:p w14:paraId="6DBE896F" w14:textId="564F814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-1,694,972</w:t>
            </w:r>
          </w:p>
        </w:tc>
      </w:tr>
      <w:tr w:rsidR="00651FA9" w:rsidRPr="00AE36F0" w14:paraId="6222A438" w14:textId="77777777" w:rsidTr="00B72A61">
        <w:trPr>
          <w:trHeight w:val="547"/>
        </w:trPr>
        <w:tc>
          <w:tcPr>
            <w:tcW w:w="841" w:type="dxa"/>
            <w:tcBorders>
              <w:top w:val="nil"/>
              <w:left w:val="single" w:sz="8" w:space="0" w:color="auto"/>
              <w:bottom w:val="single" w:sz="8" w:space="0" w:color="auto"/>
              <w:right w:val="single" w:sz="8" w:space="0" w:color="auto"/>
            </w:tcBorders>
            <w:vAlign w:val="center"/>
            <w:hideMark/>
          </w:tcPr>
          <w:p w14:paraId="643FDF5D" w14:textId="1ED7703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526</w:t>
            </w:r>
          </w:p>
        </w:tc>
        <w:tc>
          <w:tcPr>
            <w:tcW w:w="3544" w:type="dxa"/>
            <w:tcBorders>
              <w:top w:val="nil"/>
              <w:left w:val="nil"/>
              <w:bottom w:val="single" w:sz="8" w:space="0" w:color="auto"/>
              <w:right w:val="single" w:sz="8" w:space="0" w:color="auto"/>
            </w:tcBorders>
            <w:vAlign w:val="center"/>
            <w:hideMark/>
          </w:tcPr>
          <w:p w14:paraId="0168CE34" w14:textId="7E71B378"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LA JUVENTUD DEL ESTADO DE OAXACA</w:t>
            </w:r>
          </w:p>
        </w:tc>
        <w:tc>
          <w:tcPr>
            <w:tcW w:w="1701" w:type="dxa"/>
            <w:tcBorders>
              <w:top w:val="nil"/>
              <w:left w:val="nil"/>
              <w:bottom w:val="single" w:sz="8" w:space="0" w:color="auto"/>
              <w:right w:val="single" w:sz="8" w:space="0" w:color="auto"/>
            </w:tcBorders>
            <w:vAlign w:val="center"/>
            <w:hideMark/>
          </w:tcPr>
          <w:p w14:paraId="2CBB4515" w14:textId="54BEF66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1,198,616</w:t>
            </w:r>
          </w:p>
        </w:tc>
        <w:tc>
          <w:tcPr>
            <w:tcW w:w="1701" w:type="dxa"/>
            <w:tcBorders>
              <w:top w:val="nil"/>
              <w:left w:val="nil"/>
              <w:bottom w:val="single" w:sz="8" w:space="0" w:color="auto"/>
              <w:right w:val="single" w:sz="8" w:space="0" w:color="auto"/>
            </w:tcBorders>
            <w:vAlign w:val="center"/>
            <w:hideMark/>
          </w:tcPr>
          <w:p w14:paraId="27560635" w14:textId="417C650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1,189,728</w:t>
            </w:r>
          </w:p>
        </w:tc>
        <w:tc>
          <w:tcPr>
            <w:tcW w:w="1559" w:type="dxa"/>
            <w:tcBorders>
              <w:top w:val="nil"/>
              <w:left w:val="nil"/>
              <w:bottom w:val="single" w:sz="8" w:space="0" w:color="auto"/>
              <w:right w:val="single" w:sz="8" w:space="0" w:color="auto"/>
            </w:tcBorders>
            <w:vAlign w:val="center"/>
            <w:hideMark/>
          </w:tcPr>
          <w:p w14:paraId="2A38DA7D" w14:textId="063891B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-8,889</w:t>
            </w:r>
          </w:p>
        </w:tc>
      </w:tr>
      <w:tr w:rsidR="00651FA9" w:rsidRPr="00AE36F0" w14:paraId="464800F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6602E061" w14:textId="639C1FA9"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528</w:t>
            </w:r>
          </w:p>
        </w:tc>
        <w:tc>
          <w:tcPr>
            <w:tcW w:w="3544" w:type="dxa"/>
            <w:tcBorders>
              <w:top w:val="nil"/>
              <w:left w:val="nil"/>
              <w:bottom w:val="single" w:sz="8" w:space="0" w:color="auto"/>
              <w:right w:val="single" w:sz="8" w:space="0" w:color="auto"/>
            </w:tcBorders>
            <w:vAlign w:val="center"/>
            <w:hideMark/>
          </w:tcPr>
          <w:p w14:paraId="1766DE47" w14:textId="4110064F"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DEL PATRIMONIO CULTURAL DEL ESTADO DE OAXACA</w:t>
            </w:r>
          </w:p>
        </w:tc>
        <w:tc>
          <w:tcPr>
            <w:tcW w:w="1701" w:type="dxa"/>
            <w:tcBorders>
              <w:top w:val="nil"/>
              <w:left w:val="nil"/>
              <w:bottom w:val="single" w:sz="8" w:space="0" w:color="auto"/>
              <w:right w:val="single" w:sz="8" w:space="0" w:color="auto"/>
            </w:tcBorders>
            <w:vAlign w:val="center"/>
            <w:hideMark/>
          </w:tcPr>
          <w:p w14:paraId="606A18FE" w14:textId="7E67C6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1,441,320,603</w:t>
            </w:r>
          </w:p>
        </w:tc>
        <w:tc>
          <w:tcPr>
            <w:tcW w:w="1701" w:type="dxa"/>
            <w:tcBorders>
              <w:top w:val="nil"/>
              <w:left w:val="nil"/>
              <w:bottom w:val="single" w:sz="8" w:space="0" w:color="auto"/>
              <w:right w:val="single" w:sz="8" w:space="0" w:color="auto"/>
            </w:tcBorders>
            <w:vAlign w:val="center"/>
            <w:hideMark/>
          </w:tcPr>
          <w:p w14:paraId="614DA1E3" w14:textId="32B2714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1,327,909,273</w:t>
            </w:r>
          </w:p>
        </w:tc>
        <w:tc>
          <w:tcPr>
            <w:tcW w:w="1559" w:type="dxa"/>
            <w:tcBorders>
              <w:top w:val="nil"/>
              <w:left w:val="nil"/>
              <w:bottom w:val="single" w:sz="8" w:space="0" w:color="auto"/>
              <w:right w:val="single" w:sz="8" w:space="0" w:color="auto"/>
            </w:tcBorders>
            <w:vAlign w:val="center"/>
            <w:hideMark/>
          </w:tcPr>
          <w:p w14:paraId="7A486497" w14:textId="43B8C01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-113,411,330</w:t>
            </w:r>
          </w:p>
        </w:tc>
      </w:tr>
      <w:tr w:rsidR="00651FA9" w:rsidRPr="00AE36F0" w14:paraId="47710515" w14:textId="77777777" w:rsidTr="00B72A61">
        <w:trPr>
          <w:trHeight w:val="479"/>
        </w:trPr>
        <w:tc>
          <w:tcPr>
            <w:tcW w:w="841" w:type="dxa"/>
            <w:tcBorders>
              <w:top w:val="nil"/>
              <w:left w:val="single" w:sz="8" w:space="0" w:color="auto"/>
              <w:bottom w:val="single" w:sz="8" w:space="0" w:color="auto"/>
              <w:right w:val="single" w:sz="8" w:space="0" w:color="auto"/>
            </w:tcBorders>
            <w:vAlign w:val="center"/>
            <w:hideMark/>
          </w:tcPr>
          <w:p w14:paraId="535A1DB5" w14:textId="3D140AAE"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530</w:t>
            </w:r>
          </w:p>
        </w:tc>
        <w:tc>
          <w:tcPr>
            <w:tcW w:w="3544" w:type="dxa"/>
            <w:tcBorders>
              <w:top w:val="nil"/>
              <w:left w:val="nil"/>
              <w:bottom w:val="single" w:sz="8" w:space="0" w:color="auto"/>
              <w:right w:val="single" w:sz="8" w:space="0" w:color="auto"/>
            </w:tcBorders>
            <w:vAlign w:val="center"/>
            <w:hideMark/>
          </w:tcPr>
          <w:p w14:paraId="43328D02" w14:textId="743FA5BF"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ESTATAL DE EDUCACIÓN PARA ADULTOS</w:t>
            </w:r>
          </w:p>
        </w:tc>
        <w:tc>
          <w:tcPr>
            <w:tcW w:w="1701" w:type="dxa"/>
            <w:tcBorders>
              <w:top w:val="nil"/>
              <w:left w:val="nil"/>
              <w:bottom w:val="single" w:sz="8" w:space="0" w:color="auto"/>
              <w:right w:val="single" w:sz="8" w:space="0" w:color="auto"/>
            </w:tcBorders>
            <w:vAlign w:val="center"/>
            <w:hideMark/>
          </w:tcPr>
          <w:p w14:paraId="055860EB" w14:textId="0424688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-305,398</w:t>
            </w:r>
          </w:p>
        </w:tc>
        <w:tc>
          <w:tcPr>
            <w:tcW w:w="1701" w:type="dxa"/>
            <w:tcBorders>
              <w:top w:val="nil"/>
              <w:left w:val="nil"/>
              <w:bottom w:val="single" w:sz="8" w:space="0" w:color="auto"/>
              <w:right w:val="single" w:sz="8" w:space="0" w:color="auto"/>
            </w:tcBorders>
            <w:vAlign w:val="center"/>
            <w:hideMark/>
          </w:tcPr>
          <w:p w14:paraId="2A8ACD05" w14:textId="6B9BC13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-248,256</w:t>
            </w:r>
          </w:p>
        </w:tc>
        <w:tc>
          <w:tcPr>
            <w:tcW w:w="1559" w:type="dxa"/>
            <w:tcBorders>
              <w:top w:val="nil"/>
              <w:left w:val="nil"/>
              <w:bottom w:val="single" w:sz="8" w:space="0" w:color="auto"/>
              <w:right w:val="single" w:sz="8" w:space="0" w:color="auto"/>
            </w:tcBorders>
            <w:vAlign w:val="center"/>
            <w:hideMark/>
          </w:tcPr>
          <w:p w14:paraId="29E814C1" w14:textId="0048A0C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57,143</w:t>
            </w:r>
          </w:p>
        </w:tc>
      </w:tr>
      <w:tr w:rsidR="00651FA9" w:rsidRPr="00AE36F0" w14:paraId="59727708" w14:textId="77777777" w:rsidTr="00B72A61">
        <w:trPr>
          <w:trHeight w:val="529"/>
        </w:trPr>
        <w:tc>
          <w:tcPr>
            <w:tcW w:w="841" w:type="dxa"/>
            <w:tcBorders>
              <w:top w:val="nil"/>
              <w:left w:val="single" w:sz="8" w:space="0" w:color="auto"/>
              <w:bottom w:val="single" w:sz="8" w:space="0" w:color="auto"/>
              <w:right w:val="single" w:sz="8" w:space="0" w:color="auto"/>
            </w:tcBorders>
            <w:vAlign w:val="center"/>
            <w:hideMark/>
          </w:tcPr>
          <w:p w14:paraId="55DCCFB8" w14:textId="57C0BD90"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531</w:t>
            </w:r>
          </w:p>
        </w:tc>
        <w:tc>
          <w:tcPr>
            <w:tcW w:w="3544" w:type="dxa"/>
            <w:tcBorders>
              <w:top w:val="nil"/>
              <w:left w:val="nil"/>
              <w:bottom w:val="single" w:sz="8" w:space="0" w:color="auto"/>
              <w:right w:val="single" w:sz="8" w:space="0" w:color="auto"/>
            </w:tcBorders>
            <w:vAlign w:val="center"/>
            <w:hideMark/>
          </w:tcPr>
          <w:p w14:paraId="13199E90" w14:textId="48EB37A6"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ESTATAL DE EDUCACIÓN PÚBLICA DE OAXACA</w:t>
            </w:r>
          </w:p>
        </w:tc>
        <w:tc>
          <w:tcPr>
            <w:tcW w:w="1701" w:type="dxa"/>
            <w:tcBorders>
              <w:top w:val="nil"/>
              <w:left w:val="nil"/>
              <w:bottom w:val="single" w:sz="8" w:space="0" w:color="auto"/>
              <w:right w:val="single" w:sz="8" w:space="0" w:color="auto"/>
            </w:tcBorders>
            <w:vAlign w:val="center"/>
            <w:hideMark/>
          </w:tcPr>
          <w:p w14:paraId="58E4B02F" w14:textId="02DA1C0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5,700,797,160</w:t>
            </w:r>
          </w:p>
        </w:tc>
        <w:tc>
          <w:tcPr>
            <w:tcW w:w="1701" w:type="dxa"/>
            <w:tcBorders>
              <w:top w:val="nil"/>
              <w:left w:val="nil"/>
              <w:bottom w:val="single" w:sz="8" w:space="0" w:color="auto"/>
              <w:right w:val="single" w:sz="8" w:space="0" w:color="auto"/>
            </w:tcBorders>
            <w:vAlign w:val="center"/>
            <w:hideMark/>
          </w:tcPr>
          <w:p w14:paraId="5847EBEA" w14:textId="3FC3C79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5,588,039,963</w:t>
            </w:r>
          </w:p>
        </w:tc>
        <w:tc>
          <w:tcPr>
            <w:tcW w:w="1559" w:type="dxa"/>
            <w:tcBorders>
              <w:top w:val="nil"/>
              <w:left w:val="nil"/>
              <w:bottom w:val="single" w:sz="8" w:space="0" w:color="auto"/>
              <w:right w:val="single" w:sz="8" w:space="0" w:color="auto"/>
            </w:tcBorders>
            <w:vAlign w:val="center"/>
            <w:hideMark/>
          </w:tcPr>
          <w:p w14:paraId="5A325EFA" w14:textId="2ABB988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-112,757,196</w:t>
            </w:r>
          </w:p>
        </w:tc>
      </w:tr>
      <w:tr w:rsidR="00651FA9" w:rsidRPr="00AE36F0" w14:paraId="219EAF86"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74D626C" w14:textId="6C83ADB4"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532</w:t>
            </w:r>
          </w:p>
        </w:tc>
        <w:tc>
          <w:tcPr>
            <w:tcW w:w="3544" w:type="dxa"/>
            <w:tcBorders>
              <w:top w:val="nil"/>
              <w:left w:val="nil"/>
              <w:bottom w:val="single" w:sz="8" w:space="0" w:color="auto"/>
              <w:right w:val="single" w:sz="8" w:space="0" w:color="auto"/>
            </w:tcBorders>
            <w:vAlign w:val="center"/>
            <w:hideMark/>
          </w:tcPr>
          <w:p w14:paraId="0EC58E06" w14:textId="61230C59"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OAXAQUEÑO CONSTRUCTOR DE INFRAESTRUCTURA EDUCATIVA</w:t>
            </w:r>
          </w:p>
        </w:tc>
        <w:tc>
          <w:tcPr>
            <w:tcW w:w="1701" w:type="dxa"/>
            <w:tcBorders>
              <w:top w:val="nil"/>
              <w:left w:val="nil"/>
              <w:bottom w:val="single" w:sz="8" w:space="0" w:color="auto"/>
              <w:right w:val="single" w:sz="8" w:space="0" w:color="auto"/>
            </w:tcBorders>
            <w:vAlign w:val="center"/>
            <w:hideMark/>
          </w:tcPr>
          <w:p w14:paraId="4BE625EA" w14:textId="7239419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1,419,677,335</w:t>
            </w:r>
          </w:p>
        </w:tc>
        <w:tc>
          <w:tcPr>
            <w:tcW w:w="1701" w:type="dxa"/>
            <w:tcBorders>
              <w:top w:val="nil"/>
              <w:left w:val="nil"/>
              <w:bottom w:val="single" w:sz="8" w:space="0" w:color="auto"/>
              <w:right w:val="single" w:sz="8" w:space="0" w:color="auto"/>
            </w:tcBorders>
            <w:vAlign w:val="center"/>
            <w:hideMark/>
          </w:tcPr>
          <w:p w14:paraId="57496284" w14:textId="1732C10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1,928,123,094</w:t>
            </w:r>
          </w:p>
        </w:tc>
        <w:tc>
          <w:tcPr>
            <w:tcW w:w="1559" w:type="dxa"/>
            <w:tcBorders>
              <w:top w:val="nil"/>
              <w:left w:val="nil"/>
              <w:bottom w:val="single" w:sz="8" w:space="0" w:color="auto"/>
              <w:right w:val="single" w:sz="8" w:space="0" w:color="auto"/>
            </w:tcBorders>
            <w:vAlign w:val="center"/>
            <w:hideMark/>
          </w:tcPr>
          <w:p w14:paraId="355539FF" w14:textId="3381F4A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508,445,759</w:t>
            </w:r>
          </w:p>
        </w:tc>
      </w:tr>
      <w:tr w:rsidR="00651FA9" w:rsidRPr="00AE36F0" w14:paraId="54AFEDCB"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5FC070E2" w14:textId="6D33B68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535</w:t>
            </w:r>
          </w:p>
        </w:tc>
        <w:tc>
          <w:tcPr>
            <w:tcW w:w="3544" w:type="dxa"/>
            <w:tcBorders>
              <w:top w:val="nil"/>
              <w:left w:val="nil"/>
              <w:bottom w:val="single" w:sz="8" w:space="0" w:color="auto"/>
              <w:right w:val="single" w:sz="8" w:space="0" w:color="auto"/>
            </w:tcBorders>
            <w:vAlign w:val="center"/>
            <w:hideMark/>
          </w:tcPr>
          <w:p w14:paraId="74B779B2" w14:textId="45B5BEF3"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TECNOLÓGICO SUPERIOR DE SAN MIGUEL EL GRANDE</w:t>
            </w:r>
          </w:p>
        </w:tc>
        <w:tc>
          <w:tcPr>
            <w:tcW w:w="1701" w:type="dxa"/>
            <w:tcBorders>
              <w:top w:val="nil"/>
              <w:left w:val="nil"/>
              <w:bottom w:val="single" w:sz="8" w:space="0" w:color="auto"/>
              <w:right w:val="single" w:sz="8" w:space="0" w:color="auto"/>
            </w:tcBorders>
            <w:vAlign w:val="center"/>
            <w:hideMark/>
          </w:tcPr>
          <w:p w14:paraId="3DC49B93" w14:textId="7785ACE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17,938,741</w:t>
            </w:r>
          </w:p>
        </w:tc>
        <w:tc>
          <w:tcPr>
            <w:tcW w:w="1701" w:type="dxa"/>
            <w:tcBorders>
              <w:top w:val="nil"/>
              <w:left w:val="nil"/>
              <w:bottom w:val="single" w:sz="8" w:space="0" w:color="auto"/>
              <w:right w:val="single" w:sz="8" w:space="0" w:color="auto"/>
            </w:tcBorders>
            <w:vAlign w:val="center"/>
            <w:hideMark/>
          </w:tcPr>
          <w:p w14:paraId="3A911E42" w14:textId="4204E72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31,172,537</w:t>
            </w:r>
          </w:p>
        </w:tc>
        <w:tc>
          <w:tcPr>
            <w:tcW w:w="1559" w:type="dxa"/>
            <w:tcBorders>
              <w:top w:val="nil"/>
              <w:left w:val="nil"/>
              <w:bottom w:val="single" w:sz="8" w:space="0" w:color="auto"/>
              <w:right w:val="single" w:sz="8" w:space="0" w:color="auto"/>
            </w:tcBorders>
            <w:vAlign w:val="center"/>
            <w:hideMark/>
          </w:tcPr>
          <w:p w14:paraId="6C42AB3B" w14:textId="315B848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13,233,796</w:t>
            </w:r>
          </w:p>
        </w:tc>
      </w:tr>
      <w:tr w:rsidR="00651FA9" w:rsidRPr="00AE36F0" w14:paraId="7CEB3EEA" w14:textId="77777777" w:rsidTr="00B72A61">
        <w:trPr>
          <w:trHeight w:val="471"/>
        </w:trPr>
        <w:tc>
          <w:tcPr>
            <w:tcW w:w="841" w:type="dxa"/>
            <w:tcBorders>
              <w:top w:val="nil"/>
              <w:left w:val="single" w:sz="8" w:space="0" w:color="auto"/>
              <w:bottom w:val="single" w:sz="8" w:space="0" w:color="auto"/>
              <w:right w:val="single" w:sz="8" w:space="0" w:color="auto"/>
            </w:tcBorders>
            <w:vAlign w:val="center"/>
            <w:hideMark/>
          </w:tcPr>
          <w:p w14:paraId="7C426C38" w14:textId="50EF13D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536</w:t>
            </w:r>
          </w:p>
        </w:tc>
        <w:tc>
          <w:tcPr>
            <w:tcW w:w="3544" w:type="dxa"/>
            <w:tcBorders>
              <w:top w:val="nil"/>
              <w:left w:val="nil"/>
              <w:bottom w:val="single" w:sz="8" w:space="0" w:color="auto"/>
              <w:right w:val="single" w:sz="8" w:space="0" w:color="auto"/>
            </w:tcBorders>
            <w:vAlign w:val="center"/>
            <w:hideMark/>
          </w:tcPr>
          <w:p w14:paraId="1B3E9AA1" w14:textId="77293A6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TECNOLÓGICO SUPERIOR DE TEPOSCOLULA</w:t>
            </w:r>
          </w:p>
        </w:tc>
        <w:tc>
          <w:tcPr>
            <w:tcW w:w="1701" w:type="dxa"/>
            <w:tcBorders>
              <w:top w:val="nil"/>
              <w:left w:val="nil"/>
              <w:bottom w:val="single" w:sz="8" w:space="0" w:color="auto"/>
              <w:right w:val="single" w:sz="8" w:space="0" w:color="auto"/>
            </w:tcBorders>
            <w:vAlign w:val="center"/>
            <w:hideMark/>
          </w:tcPr>
          <w:p w14:paraId="4BBED6BF" w14:textId="642BA36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2,638,275</w:t>
            </w:r>
          </w:p>
        </w:tc>
        <w:tc>
          <w:tcPr>
            <w:tcW w:w="1701" w:type="dxa"/>
            <w:tcBorders>
              <w:top w:val="nil"/>
              <w:left w:val="nil"/>
              <w:bottom w:val="single" w:sz="8" w:space="0" w:color="auto"/>
              <w:right w:val="single" w:sz="8" w:space="0" w:color="auto"/>
            </w:tcBorders>
            <w:vAlign w:val="center"/>
            <w:hideMark/>
          </w:tcPr>
          <w:p w14:paraId="7341496E" w14:textId="0F6BA95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1,026,202</w:t>
            </w:r>
          </w:p>
        </w:tc>
        <w:tc>
          <w:tcPr>
            <w:tcW w:w="1559" w:type="dxa"/>
            <w:tcBorders>
              <w:top w:val="nil"/>
              <w:left w:val="nil"/>
              <w:bottom w:val="single" w:sz="8" w:space="0" w:color="auto"/>
              <w:right w:val="single" w:sz="8" w:space="0" w:color="auto"/>
            </w:tcBorders>
            <w:vAlign w:val="center"/>
            <w:hideMark/>
          </w:tcPr>
          <w:p w14:paraId="2AAAFE51" w14:textId="0F9750D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-1,612,073</w:t>
            </w:r>
          </w:p>
        </w:tc>
      </w:tr>
      <w:tr w:rsidR="00651FA9" w:rsidRPr="00AE36F0" w14:paraId="451730CC"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67D9A0E0" w14:textId="4249A477"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538</w:t>
            </w:r>
          </w:p>
        </w:tc>
        <w:tc>
          <w:tcPr>
            <w:tcW w:w="3544" w:type="dxa"/>
            <w:tcBorders>
              <w:top w:val="nil"/>
              <w:left w:val="nil"/>
              <w:bottom w:val="single" w:sz="8" w:space="0" w:color="auto"/>
              <w:right w:val="single" w:sz="8" w:space="0" w:color="auto"/>
            </w:tcBorders>
            <w:vAlign w:val="center"/>
            <w:hideMark/>
          </w:tcPr>
          <w:p w14:paraId="22FD939C" w14:textId="4A00909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NOVAUNIVERSITAS</w:t>
            </w:r>
          </w:p>
        </w:tc>
        <w:tc>
          <w:tcPr>
            <w:tcW w:w="1701" w:type="dxa"/>
            <w:tcBorders>
              <w:top w:val="nil"/>
              <w:left w:val="nil"/>
              <w:bottom w:val="single" w:sz="8" w:space="0" w:color="auto"/>
              <w:right w:val="single" w:sz="8" w:space="0" w:color="auto"/>
            </w:tcBorders>
            <w:vAlign w:val="center"/>
            <w:hideMark/>
          </w:tcPr>
          <w:p w14:paraId="7514802A" w14:textId="47EF4B9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122,359,579</w:t>
            </w:r>
          </w:p>
        </w:tc>
        <w:tc>
          <w:tcPr>
            <w:tcW w:w="1701" w:type="dxa"/>
            <w:tcBorders>
              <w:top w:val="nil"/>
              <w:left w:val="nil"/>
              <w:bottom w:val="single" w:sz="8" w:space="0" w:color="auto"/>
              <w:right w:val="single" w:sz="8" w:space="0" w:color="auto"/>
            </w:tcBorders>
            <w:vAlign w:val="center"/>
            <w:hideMark/>
          </w:tcPr>
          <w:p w14:paraId="2E85C9D0" w14:textId="44C3B2F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159,032,529</w:t>
            </w:r>
          </w:p>
        </w:tc>
        <w:tc>
          <w:tcPr>
            <w:tcW w:w="1559" w:type="dxa"/>
            <w:tcBorders>
              <w:top w:val="nil"/>
              <w:left w:val="nil"/>
              <w:bottom w:val="single" w:sz="8" w:space="0" w:color="auto"/>
              <w:right w:val="single" w:sz="8" w:space="0" w:color="auto"/>
            </w:tcBorders>
            <w:vAlign w:val="center"/>
            <w:hideMark/>
          </w:tcPr>
          <w:p w14:paraId="5D9C0275" w14:textId="58309F9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36,672,950</w:t>
            </w:r>
          </w:p>
        </w:tc>
      </w:tr>
      <w:tr w:rsidR="00651FA9" w:rsidRPr="00AE36F0" w14:paraId="4CF53701"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25B7EA56" w14:textId="6C9A437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lastRenderedPageBreak/>
              <w:t>539</w:t>
            </w:r>
          </w:p>
        </w:tc>
        <w:tc>
          <w:tcPr>
            <w:tcW w:w="3544" w:type="dxa"/>
            <w:tcBorders>
              <w:top w:val="nil"/>
              <w:left w:val="nil"/>
              <w:bottom w:val="single" w:sz="8" w:space="0" w:color="auto"/>
              <w:right w:val="single" w:sz="8" w:space="0" w:color="auto"/>
            </w:tcBorders>
            <w:vAlign w:val="center"/>
            <w:hideMark/>
          </w:tcPr>
          <w:p w14:paraId="1BA5B21F" w14:textId="10BD470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SISTEMA OPERADOR DE LOS SERVICIOS DE AGUA POTABLE Y ALCANTARILLADO</w:t>
            </w:r>
          </w:p>
        </w:tc>
        <w:tc>
          <w:tcPr>
            <w:tcW w:w="1701" w:type="dxa"/>
            <w:tcBorders>
              <w:top w:val="nil"/>
              <w:left w:val="nil"/>
              <w:bottom w:val="single" w:sz="8" w:space="0" w:color="auto"/>
              <w:right w:val="single" w:sz="8" w:space="0" w:color="auto"/>
            </w:tcBorders>
            <w:vAlign w:val="center"/>
            <w:hideMark/>
          </w:tcPr>
          <w:p w14:paraId="3EAF10AD" w14:textId="71A341C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929,385,597</w:t>
            </w:r>
          </w:p>
        </w:tc>
        <w:tc>
          <w:tcPr>
            <w:tcW w:w="1701" w:type="dxa"/>
            <w:tcBorders>
              <w:top w:val="nil"/>
              <w:left w:val="nil"/>
              <w:bottom w:val="single" w:sz="8" w:space="0" w:color="auto"/>
              <w:right w:val="single" w:sz="8" w:space="0" w:color="auto"/>
            </w:tcBorders>
            <w:vAlign w:val="center"/>
            <w:hideMark/>
          </w:tcPr>
          <w:p w14:paraId="5D1F8647" w14:textId="2527A78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905,674,114</w:t>
            </w:r>
          </w:p>
        </w:tc>
        <w:tc>
          <w:tcPr>
            <w:tcW w:w="1559" w:type="dxa"/>
            <w:tcBorders>
              <w:top w:val="nil"/>
              <w:left w:val="nil"/>
              <w:bottom w:val="single" w:sz="8" w:space="0" w:color="auto"/>
              <w:right w:val="single" w:sz="8" w:space="0" w:color="auto"/>
            </w:tcBorders>
            <w:vAlign w:val="center"/>
            <w:hideMark/>
          </w:tcPr>
          <w:p w14:paraId="1D6F2BEF" w14:textId="71BF20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-23,711,483</w:t>
            </w:r>
          </w:p>
        </w:tc>
      </w:tr>
      <w:tr w:rsidR="00651FA9" w:rsidRPr="00AE36F0" w14:paraId="01CA3322"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764C10A1" w14:textId="62DFFC1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540</w:t>
            </w:r>
          </w:p>
        </w:tc>
        <w:tc>
          <w:tcPr>
            <w:tcW w:w="3544" w:type="dxa"/>
            <w:tcBorders>
              <w:top w:val="nil"/>
              <w:left w:val="nil"/>
              <w:bottom w:val="single" w:sz="8" w:space="0" w:color="auto"/>
              <w:right w:val="single" w:sz="8" w:space="0" w:color="auto"/>
            </w:tcBorders>
            <w:vAlign w:val="center"/>
            <w:hideMark/>
          </w:tcPr>
          <w:p w14:paraId="5F26E693" w14:textId="0D84C6B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SERVICIOS DE SALUD DE OAXACA</w:t>
            </w:r>
          </w:p>
        </w:tc>
        <w:tc>
          <w:tcPr>
            <w:tcW w:w="1701" w:type="dxa"/>
            <w:tcBorders>
              <w:top w:val="nil"/>
              <w:left w:val="nil"/>
              <w:bottom w:val="single" w:sz="8" w:space="0" w:color="auto"/>
              <w:right w:val="single" w:sz="8" w:space="0" w:color="auto"/>
            </w:tcBorders>
            <w:vAlign w:val="center"/>
            <w:hideMark/>
          </w:tcPr>
          <w:p w14:paraId="7268796E" w14:textId="62F90B3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8,094,365,002</w:t>
            </w:r>
          </w:p>
        </w:tc>
        <w:tc>
          <w:tcPr>
            <w:tcW w:w="1701" w:type="dxa"/>
            <w:tcBorders>
              <w:top w:val="nil"/>
              <w:left w:val="nil"/>
              <w:bottom w:val="single" w:sz="8" w:space="0" w:color="auto"/>
              <w:right w:val="single" w:sz="8" w:space="0" w:color="auto"/>
            </w:tcBorders>
            <w:vAlign w:val="center"/>
            <w:hideMark/>
          </w:tcPr>
          <w:p w14:paraId="2D075D9C" w14:textId="7BBA6DF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8,384,455,857</w:t>
            </w:r>
          </w:p>
        </w:tc>
        <w:tc>
          <w:tcPr>
            <w:tcW w:w="1559" w:type="dxa"/>
            <w:tcBorders>
              <w:top w:val="nil"/>
              <w:left w:val="nil"/>
              <w:bottom w:val="single" w:sz="8" w:space="0" w:color="auto"/>
              <w:right w:val="single" w:sz="8" w:space="0" w:color="auto"/>
            </w:tcBorders>
            <w:vAlign w:val="center"/>
            <w:hideMark/>
          </w:tcPr>
          <w:p w14:paraId="0E9EEBD6" w14:textId="5B5F7E6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290,090,856</w:t>
            </w:r>
          </w:p>
        </w:tc>
      </w:tr>
      <w:tr w:rsidR="00651FA9" w:rsidRPr="00AE36F0" w14:paraId="28BB9EB4" w14:textId="77777777" w:rsidTr="00B72A61">
        <w:trPr>
          <w:trHeight w:val="464"/>
        </w:trPr>
        <w:tc>
          <w:tcPr>
            <w:tcW w:w="841" w:type="dxa"/>
            <w:tcBorders>
              <w:top w:val="nil"/>
              <w:left w:val="single" w:sz="8" w:space="0" w:color="auto"/>
              <w:bottom w:val="single" w:sz="8" w:space="0" w:color="auto"/>
              <w:right w:val="single" w:sz="8" w:space="0" w:color="auto"/>
            </w:tcBorders>
            <w:vAlign w:val="center"/>
            <w:hideMark/>
          </w:tcPr>
          <w:p w14:paraId="45185048" w14:textId="51FD3CF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541</w:t>
            </w:r>
          </w:p>
        </w:tc>
        <w:tc>
          <w:tcPr>
            <w:tcW w:w="3544" w:type="dxa"/>
            <w:tcBorders>
              <w:top w:val="nil"/>
              <w:left w:val="nil"/>
              <w:bottom w:val="single" w:sz="8" w:space="0" w:color="auto"/>
              <w:right w:val="single" w:sz="8" w:space="0" w:color="auto"/>
            </w:tcBorders>
            <w:vAlign w:val="center"/>
            <w:hideMark/>
          </w:tcPr>
          <w:p w14:paraId="50CCA516" w14:textId="5EEB28B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SISTEMA PARA EL DESARROLLO INTEGRAL DE LA FAMILIA DEL ESTADO DE OAXACA</w:t>
            </w:r>
          </w:p>
        </w:tc>
        <w:tc>
          <w:tcPr>
            <w:tcW w:w="1701" w:type="dxa"/>
            <w:tcBorders>
              <w:top w:val="nil"/>
              <w:left w:val="nil"/>
              <w:bottom w:val="single" w:sz="8" w:space="0" w:color="auto"/>
              <w:right w:val="single" w:sz="8" w:space="0" w:color="auto"/>
            </w:tcBorders>
            <w:vAlign w:val="center"/>
            <w:hideMark/>
          </w:tcPr>
          <w:p w14:paraId="55E6200C" w14:textId="0AA02B0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409,426,559</w:t>
            </w:r>
          </w:p>
        </w:tc>
        <w:tc>
          <w:tcPr>
            <w:tcW w:w="1701" w:type="dxa"/>
            <w:tcBorders>
              <w:top w:val="nil"/>
              <w:left w:val="nil"/>
              <w:bottom w:val="single" w:sz="8" w:space="0" w:color="auto"/>
              <w:right w:val="single" w:sz="8" w:space="0" w:color="auto"/>
            </w:tcBorders>
            <w:vAlign w:val="center"/>
            <w:hideMark/>
          </w:tcPr>
          <w:p w14:paraId="78684B24" w14:textId="41FCD2B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432,544,554</w:t>
            </w:r>
          </w:p>
        </w:tc>
        <w:tc>
          <w:tcPr>
            <w:tcW w:w="1559" w:type="dxa"/>
            <w:tcBorders>
              <w:top w:val="nil"/>
              <w:left w:val="nil"/>
              <w:bottom w:val="single" w:sz="8" w:space="0" w:color="auto"/>
              <w:right w:val="single" w:sz="8" w:space="0" w:color="auto"/>
            </w:tcBorders>
            <w:vAlign w:val="center"/>
            <w:hideMark/>
          </w:tcPr>
          <w:p w14:paraId="54179BAA" w14:textId="2750772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23,117,995</w:t>
            </w:r>
          </w:p>
        </w:tc>
      </w:tr>
      <w:tr w:rsidR="00651FA9" w:rsidRPr="00AE36F0" w14:paraId="7F88314D"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0C41FFB" w14:textId="6FEED7D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542</w:t>
            </w:r>
          </w:p>
        </w:tc>
        <w:tc>
          <w:tcPr>
            <w:tcW w:w="3544" w:type="dxa"/>
            <w:tcBorders>
              <w:top w:val="nil"/>
              <w:left w:val="nil"/>
              <w:bottom w:val="single" w:sz="8" w:space="0" w:color="auto"/>
              <w:right w:val="single" w:sz="8" w:space="0" w:color="auto"/>
            </w:tcBorders>
            <w:vAlign w:val="center"/>
            <w:hideMark/>
          </w:tcPr>
          <w:p w14:paraId="3F0BA9B0" w14:textId="662E1C9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CHALCATONGO</w:t>
            </w:r>
          </w:p>
        </w:tc>
        <w:tc>
          <w:tcPr>
            <w:tcW w:w="1701" w:type="dxa"/>
            <w:tcBorders>
              <w:top w:val="nil"/>
              <w:left w:val="nil"/>
              <w:bottom w:val="single" w:sz="8" w:space="0" w:color="auto"/>
              <w:right w:val="single" w:sz="8" w:space="0" w:color="auto"/>
            </w:tcBorders>
            <w:vAlign w:val="center"/>
            <w:hideMark/>
          </w:tcPr>
          <w:p w14:paraId="3D79A60C" w14:textId="49C35AD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130,490,021</w:t>
            </w:r>
          </w:p>
        </w:tc>
        <w:tc>
          <w:tcPr>
            <w:tcW w:w="1701" w:type="dxa"/>
            <w:tcBorders>
              <w:top w:val="nil"/>
              <w:left w:val="nil"/>
              <w:bottom w:val="single" w:sz="8" w:space="0" w:color="auto"/>
              <w:right w:val="single" w:sz="8" w:space="0" w:color="auto"/>
            </w:tcBorders>
            <w:vAlign w:val="center"/>
            <w:hideMark/>
          </w:tcPr>
          <w:p w14:paraId="7EE3DD6B" w14:textId="6517C2C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130,289,318</w:t>
            </w:r>
          </w:p>
        </w:tc>
        <w:tc>
          <w:tcPr>
            <w:tcW w:w="1559" w:type="dxa"/>
            <w:tcBorders>
              <w:top w:val="nil"/>
              <w:left w:val="nil"/>
              <w:bottom w:val="single" w:sz="8" w:space="0" w:color="auto"/>
              <w:right w:val="single" w:sz="8" w:space="0" w:color="auto"/>
            </w:tcBorders>
            <w:vAlign w:val="center"/>
            <w:hideMark/>
          </w:tcPr>
          <w:p w14:paraId="06B24185" w14:textId="2136B1A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-200,703</w:t>
            </w:r>
          </w:p>
        </w:tc>
      </w:tr>
      <w:tr w:rsidR="00651FA9" w:rsidRPr="00AE36F0" w14:paraId="3947AD02"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6D85AB3" w14:textId="781CD4DE"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543</w:t>
            </w:r>
          </w:p>
        </w:tc>
        <w:tc>
          <w:tcPr>
            <w:tcW w:w="3544" w:type="dxa"/>
            <w:tcBorders>
              <w:top w:val="nil"/>
              <w:left w:val="nil"/>
              <w:bottom w:val="single" w:sz="8" w:space="0" w:color="auto"/>
              <w:right w:val="single" w:sz="8" w:space="0" w:color="auto"/>
            </w:tcBorders>
            <w:vAlign w:val="center"/>
            <w:hideMark/>
          </w:tcPr>
          <w:p w14:paraId="551C4517" w14:textId="18B12D9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CAÑADA</w:t>
            </w:r>
          </w:p>
        </w:tc>
        <w:tc>
          <w:tcPr>
            <w:tcW w:w="1701" w:type="dxa"/>
            <w:tcBorders>
              <w:top w:val="nil"/>
              <w:left w:val="nil"/>
              <w:bottom w:val="single" w:sz="8" w:space="0" w:color="auto"/>
              <w:right w:val="single" w:sz="8" w:space="0" w:color="auto"/>
            </w:tcBorders>
            <w:vAlign w:val="center"/>
            <w:hideMark/>
          </w:tcPr>
          <w:p w14:paraId="389368CF" w14:textId="157B47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139,590,617</w:t>
            </w:r>
          </w:p>
        </w:tc>
        <w:tc>
          <w:tcPr>
            <w:tcW w:w="1701" w:type="dxa"/>
            <w:tcBorders>
              <w:top w:val="nil"/>
              <w:left w:val="nil"/>
              <w:bottom w:val="single" w:sz="8" w:space="0" w:color="auto"/>
              <w:right w:val="single" w:sz="8" w:space="0" w:color="auto"/>
            </w:tcBorders>
            <w:vAlign w:val="center"/>
            <w:hideMark/>
          </w:tcPr>
          <w:p w14:paraId="0A28A4CB" w14:textId="5D2A2B4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143,518,574</w:t>
            </w:r>
          </w:p>
        </w:tc>
        <w:tc>
          <w:tcPr>
            <w:tcW w:w="1559" w:type="dxa"/>
            <w:tcBorders>
              <w:top w:val="nil"/>
              <w:left w:val="nil"/>
              <w:bottom w:val="single" w:sz="8" w:space="0" w:color="auto"/>
              <w:right w:val="single" w:sz="8" w:space="0" w:color="auto"/>
            </w:tcBorders>
            <w:vAlign w:val="center"/>
            <w:hideMark/>
          </w:tcPr>
          <w:p w14:paraId="5446C02F" w14:textId="67B2A68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3,927,957</w:t>
            </w:r>
          </w:p>
        </w:tc>
      </w:tr>
      <w:tr w:rsidR="00651FA9" w:rsidRPr="00AE36F0" w14:paraId="0C2353C8"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DC4E8B7" w14:textId="710FBD5D"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544</w:t>
            </w:r>
          </w:p>
        </w:tc>
        <w:tc>
          <w:tcPr>
            <w:tcW w:w="3544" w:type="dxa"/>
            <w:tcBorders>
              <w:top w:val="nil"/>
              <w:left w:val="nil"/>
              <w:bottom w:val="single" w:sz="8" w:space="0" w:color="auto"/>
              <w:right w:val="single" w:sz="8" w:space="0" w:color="auto"/>
            </w:tcBorders>
            <w:vAlign w:val="center"/>
            <w:hideMark/>
          </w:tcPr>
          <w:p w14:paraId="562076CA" w14:textId="59CD1A1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COSTA</w:t>
            </w:r>
          </w:p>
        </w:tc>
        <w:tc>
          <w:tcPr>
            <w:tcW w:w="1701" w:type="dxa"/>
            <w:tcBorders>
              <w:top w:val="nil"/>
              <w:left w:val="nil"/>
              <w:bottom w:val="single" w:sz="8" w:space="0" w:color="auto"/>
              <w:right w:val="single" w:sz="8" w:space="0" w:color="auto"/>
            </w:tcBorders>
            <w:vAlign w:val="center"/>
            <w:hideMark/>
          </w:tcPr>
          <w:p w14:paraId="367A1A12" w14:textId="108E5A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105,557,617</w:t>
            </w:r>
          </w:p>
        </w:tc>
        <w:tc>
          <w:tcPr>
            <w:tcW w:w="1701" w:type="dxa"/>
            <w:tcBorders>
              <w:top w:val="nil"/>
              <w:left w:val="nil"/>
              <w:bottom w:val="single" w:sz="8" w:space="0" w:color="auto"/>
              <w:right w:val="single" w:sz="8" w:space="0" w:color="auto"/>
            </w:tcBorders>
            <w:vAlign w:val="center"/>
            <w:hideMark/>
          </w:tcPr>
          <w:p w14:paraId="0546F398" w14:textId="4F48438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105,450,728</w:t>
            </w:r>
          </w:p>
        </w:tc>
        <w:tc>
          <w:tcPr>
            <w:tcW w:w="1559" w:type="dxa"/>
            <w:tcBorders>
              <w:top w:val="nil"/>
              <w:left w:val="nil"/>
              <w:bottom w:val="single" w:sz="8" w:space="0" w:color="auto"/>
              <w:right w:val="single" w:sz="8" w:space="0" w:color="auto"/>
            </w:tcBorders>
            <w:vAlign w:val="center"/>
            <w:hideMark/>
          </w:tcPr>
          <w:p w14:paraId="0DFBB389" w14:textId="163C343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-106,889</w:t>
            </w:r>
          </w:p>
        </w:tc>
      </w:tr>
      <w:tr w:rsidR="00651FA9" w:rsidRPr="00AE36F0" w14:paraId="20CA548B"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251DE4C" w14:textId="66E5E88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545</w:t>
            </w:r>
          </w:p>
        </w:tc>
        <w:tc>
          <w:tcPr>
            <w:tcW w:w="3544" w:type="dxa"/>
            <w:tcBorders>
              <w:top w:val="nil"/>
              <w:left w:val="nil"/>
              <w:bottom w:val="single" w:sz="8" w:space="0" w:color="auto"/>
              <w:right w:val="single" w:sz="8" w:space="0" w:color="auto"/>
            </w:tcBorders>
            <w:vAlign w:val="center"/>
            <w:hideMark/>
          </w:tcPr>
          <w:p w14:paraId="59C9DDC1" w14:textId="66A3C86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SIERRA JUÁREZ</w:t>
            </w:r>
          </w:p>
        </w:tc>
        <w:tc>
          <w:tcPr>
            <w:tcW w:w="1701" w:type="dxa"/>
            <w:tcBorders>
              <w:top w:val="nil"/>
              <w:left w:val="nil"/>
              <w:bottom w:val="single" w:sz="8" w:space="0" w:color="auto"/>
              <w:right w:val="single" w:sz="8" w:space="0" w:color="auto"/>
            </w:tcBorders>
            <w:vAlign w:val="center"/>
            <w:hideMark/>
          </w:tcPr>
          <w:p w14:paraId="304D0E47" w14:textId="444CE6D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112,507,897</w:t>
            </w:r>
          </w:p>
        </w:tc>
        <w:tc>
          <w:tcPr>
            <w:tcW w:w="1701" w:type="dxa"/>
            <w:tcBorders>
              <w:top w:val="nil"/>
              <w:left w:val="nil"/>
              <w:bottom w:val="single" w:sz="8" w:space="0" w:color="auto"/>
              <w:right w:val="single" w:sz="8" w:space="0" w:color="auto"/>
            </w:tcBorders>
            <w:vAlign w:val="center"/>
            <w:hideMark/>
          </w:tcPr>
          <w:p w14:paraId="1729997B" w14:textId="5535158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117,947,557</w:t>
            </w:r>
          </w:p>
        </w:tc>
        <w:tc>
          <w:tcPr>
            <w:tcW w:w="1559" w:type="dxa"/>
            <w:tcBorders>
              <w:top w:val="nil"/>
              <w:left w:val="nil"/>
              <w:bottom w:val="single" w:sz="8" w:space="0" w:color="auto"/>
              <w:right w:val="single" w:sz="8" w:space="0" w:color="auto"/>
            </w:tcBorders>
            <w:vAlign w:val="center"/>
            <w:hideMark/>
          </w:tcPr>
          <w:p w14:paraId="31F1B570" w14:textId="484190A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5,439,661</w:t>
            </w:r>
          </w:p>
        </w:tc>
      </w:tr>
      <w:tr w:rsidR="00651FA9" w:rsidRPr="00AE36F0" w14:paraId="7161518A"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D1A1D95" w14:textId="341EC779"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546</w:t>
            </w:r>
          </w:p>
        </w:tc>
        <w:tc>
          <w:tcPr>
            <w:tcW w:w="3544" w:type="dxa"/>
            <w:tcBorders>
              <w:top w:val="nil"/>
              <w:left w:val="nil"/>
              <w:bottom w:val="single" w:sz="8" w:space="0" w:color="auto"/>
              <w:right w:val="single" w:sz="8" w:space="0" w:color="auto"/>
            </w:tcBorders>
            <w:vAlign w:val="center"/>
            <w:hideMark/>
          </w:tcPr>
          <w:p w14:paraId="3DEDA2BD" w14:textId="2999364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 LA SIERRA SUR</w:t>
            </w:r>
          </w:p>
        </w:tc>
        <w:tc>
          <w:tcPr>
            <w:tcW w:w="1701" w:type="dxa"/>
            <w:tcBorders>
              <w:top w:val="nil"/>
              <w:left w:val="nil"/>
              <w:bottom w:val="single" w:sz="8" w:space="0" w:color="auto"/>
              <w:right w:val="single" w:sz="8" w:space="0" w:color="auto"/>
            </w:tcBorders>
            <w:vAlign w:val="center"/>
            <w:hideMark/>
          </w:tcPr>
          <w:p w14:paraId="6088FCAF" w14:textId="58C4A46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359,557,387</w:t>
            </w:r>
          </w:p>
        </w:tc>
        <w:tc>
          <w:tcPr>
            <w:tcW w:w="1701" w:type="dxa"/>
            <w:tcBorders>
              <w:top w:val="nil"/>
              <w:left w:val="nil"/>
              <w:bottom w:val="single" w:sz="8" w:space="0" w:color="auto"/>
              <w:right w:val="single" w:sz="8" w:space="0" w:color="auto"/>
            </w:tcBorders>
            <w:vAlign w:val="center"/>
            <w:hideMark/>
          </w:tcPr>
          <w:p w14:paraId="02529F1E" w14:textId="65AE5B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369,673,876</w:t>
            </w:r>
          </w:p>
        </w:tc>
        <w:tc>
          <w:tcPr>
            <w:tcW w:w="1559" w:type="dxa"/>
            <w:tcBorders>
              <w:top w:val="nil"/>
              <w:left w:val="nil"/>
              <w:bottom w:val="single" w:sz="8" w:space="0" w:color="auto"/>
              <w:right w:val="single" w:sz="8" w:space="0" w:color="auto"/>
            </w:tcBorders>
            <w:vAlign w:val="center"/>
            <w:hideMark/>
          </w:tcPr>
          <w:p w14:paraId="36AEF7B3" w14:textId="7AC6143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10,116,489</w:t>
            </w:r>
          </w:p>
        </w:tc>
      </w:tr>
      <w:tr w:rsidR="00651FA9" w:rsidRPr="00AE36F0" w14:paraId="542BF28B"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D81FEDD" w14:textId="38B64E1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547</w:t>
            </w:r>
          </w:p>
        </w:tc>
        <w:tc>
          <w:tcPr>
            <w:tcW w:w="3544" w:type="dxa"/>
            <w:tcBorders>
              <w:top w:val="nil"/>
              <w:left w:val="nil"/>
              <w:bottom w:val="single" w:sz="8" w:space="0" w:color="auto"/>
              <w:right w:val="single" w:sz="8" w:space="0" w:color="auto"/>
            </w:tcBorders>
            <w:vAlign w:val="center"/>
            <w:hideMark/>
          </w:tcPr>
          <w:p w14:paraId="3F1B3522" w14:textId="4598231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DEL ISTMO</w:t>
            </w:r>
          </w:p>
        </w:tc>
        <w:tc>
          <w:tcPr>
            <w:tcW w:w="1701" w:type="dxa"/>
            <w:tcBorders>
              <w:top w:val="nil"/>
              <w:left w:val="nil"/>
              <w:bottom w:val="single" w:sz="8" w:space="0" w:color="auto"/>
              <w:right w:val="single" w:sz="8" w:space="0" w:color="auto"/>
            </w:tcBorders>
            <w:vAlign w:val="center"/>
            <w:hideMark/>
          </w:tcPr>
          <w:p w14:paraId="11D232D2" w14:textId="00D174B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346,307,158</w:t>
            </w:r>
          </w:p>
        </w:tc>
        <w:tc>
          <w:tcPr>
            <w:tcW w:w="1701" w:type="dxa"/>
            <w:tcBorders>
              <w:top w:val="nil"/>
              <w:left w:val="nil"/>
              <w:bottom w:val="single" w:sz="8" w:space="0" w:color="auto"/>
              <w:right w:val="single" w:sz="8" w:space="0" w:color="auto"/>
            </w:tcBorders>
            <w:vAlign w:val="center"/>
            <w:hideMark/>
          </w:tcPr>
          <w:p w14:paraId="47F4511E" w14:textId="14F154F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347,127,223</w:t>
            </w:r>
          </w:p>
        </w:tc>
        <w:tc>
          <w:tcPr>
            <w:tcW w:w="1559" w:type="dxa"/>
            <w:tcBorders>
              <w:top w:val="nil"/>
              <w:left w:val="nil"/>
              <w:bottom w:val="single" w:sz="8" w:space="0" w:color="auto"/>
              <w:right w:val="single" w:sz="8" w:space="0" w:color="auto"/>
            </w:tcBorders>
            <w:vAlign w:val="center"/>
            <w:hideMark/>
          </w:tcPr>
          <w:p w14:paraId="02D8D9E6" w14:textId="0CD4518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820,065</w:t>
            </w:r>
          </w:p>
        </w:tc>
      </w:tr>
      <w:tr w:rsidR="00651FA9" w:rsidRPr="00AE36F0" w14:paraId="709E733F"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5049BDC" w14:textId="3CCF08A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548</w:t>
            </w:r>
          </w:p>
        </w:tc>
        <w:tc>
          <w:tcPr>
            <w:tcW w:w="3544" w:type="dxa"/>
            <w:tcBorders>
              <w:top w:val="nil"/>
              <w:left w:val="nil"/>
              <w:bottom w:val="single" w:sz="8" w:space="0" w:color="auto"/>
              <w:right w:val="single" w:sz="8" w:space="0" w:color="auto"/>
            </w:tcBorders>
            <w:vAlign w:val="center"/>
            <w:hideMark/>
          </w:tcPr>
          <w:p w14:paraId="0CDC1DD8" w14:textId="535F712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DEL MAR</w:t>
            </w:r>
          </w:p>
        </w:tc>
        <w:tc>
          <w:tcPr>
            <w:tcW w:w="1701" w:type="dxa"/>
            <w:tcBorders>
              <w:top w:val="nil"/>
              <w:left w:val="nil"/>
              <w:bottom w:val="single" w:sz="8" w:space="0" w:color="auto"/>
              <w:right w:val="single" w:sz="8" w:space="0" w:color="auto"/>
            </w:tcBorders>
            <w:vAlign w:val="center"/>
            <w:hideMark/>
          </w:tcPr>
          <w:p w14:paraId="73718F8D" w14:textId="6A8ADE8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535,231,412</w:t>
            </w:r>
          </w:p>
        </w:tc>
        <w:tc>
          <w:tcPr>
            <w:tcW w:w="1701" w:type="dxa"/>
            <w:tcBorders>
              <w:top w:val="nil"/>
              <w:left w:val="nil"/>
              <w:bottom w:val="single" w:sz="8" w:space="0" w:color="auto"/>
              <w:right w:val="single" w:sz="8" w:space="0" w:color="auto"/>
            </w:tcBorders>
            <w:vAlign w:val="center"/>
            <w:hideMark/>
          </w:tcPr>
          <w:p w14:paraId="669D1B3E" w14:textId="1902F4A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527,395,254</w:t>
            </w:r>
          </w:p>
        </w:tc>
        <w:tc>
          <w:tcPr>
            <w:tcW w:w="1559" w:type="dxa"/>
            <w:tcBorders>
              <w:top w:val="nil"/>
              <w:left w:val="nil"/>
              <w:bottom w:val="single" w:sz="8" w:space="0" w:color="auto"/>
              <w:right w:val="single" w:sz="8" w:space="0" w:color="auto"/>
            </w:tcBorders>
            <w:vAlign w:val="center"/>
            <w:hideMark/>
          </w:tcPr>
          <w:p w14:paraId="342AFFA7" w14:textId="6D46153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-7,836,159</w:t>
            </w:r>
          </w:p>
        </w:tc>
      </w:tr>
      <w:tr w:rsidR="00651FA9" w:rsidRPr="00AE36F0" w14:paraId="12BB75CC"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9B81FF7" w14:textId="4DAF1E0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549</w:t>
            </w:r>
          </w:p>
        </w:tc>
        <w:tc>
          <w:tcPr>
            <w:tcW w:w="3544" w:type="dxa"/>
            <w:tcBorders>
              <w:top w:val="nil"/>
              <w:left w:val="nil"/>
              <w:bottom w:val="single" w:sz="8" w:space="0" w:color="auto"/>
              <w:right w:val="single" w:sz="8" w:space="0" w:color="auto"/>
            </w:tcBorders>
            <w:vAlign w:val="center"/>
            <w:hideMark/>
          </w:tcPr>
          <w:p w14:paraId="77AF05BE" w14:textId="10061C4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DEL PAPALOAPAN</w:t>
            </w:r>
          </w:p>
        </w:tc>
        <w:tc>
          <w:tcPr>
            <w:tcW w:w="1701" w:type="dxa"/>
            <w:tcBorders>
              <w:top w:val="nil"/>
              <w:left w:val="nil"/>
              <w:bottom w:val="single" w:sz="8" w:space="0" w:color="auto"/>
              <w:right w:val="single" w:sz="8" w:space="0" w:color="auto"/>
            </w:tcBorders>
            <w:vAlign w:val="center"/>
            <w:hideMark/>
          </w:tcPr>
          <w:p w14:paraId="107C4103" w14:textId="3EC3979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234,211,366</w:t>
            </w:r>
          </w:p>
        </w:tc>
        <w:tc>
          <w:tcPr>
            <w:tcW w:w="1701" w:type="dxa"/>
            <w:tcBorders>
              <w:top w:val="nil"/>
              <w:left w:val="nil"/>
              <w:bottom w:val="single" w:sz="8" w:space="0" w:color="auto"/>
              <w:right w:val="single" w:sz="8" w:space="0" w:color="auto"/>
            </w:tcBorders>
            <w:vAlign w:val="center"/>
            <w:hideMark/>
          </w:tcPr>
          <w:p w14:paraId="09D6D4A7" w14:textId="7D1A325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245,300,073</w:t>
            </w:r>
          </w:p>
        </w:tc>
        <w:tc>
          <w:tcPr>
            <w:tcW w:w="1559" w:type="dxa"/>
            <w:tcBorders>
              <w:top w:val="nil"/>
              <w:left w:val="nil"/>
              <w:bottom w:val="single" w:sz="8" w:space="0" w:color="auto"/>
              <w:right w:val="single" w:sz="8" w:space="0" w:color="auto"/>
            </w:tcBorders>
            <w:vAlign w:val="center"/>
            <w:hideMark/>
          </w:tcPr>
          <w:p w14:paraId="11A8C5DD" w14:textId="28C12B0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11,088,706</w:t>
            </w:r>
          </w:p>
        </w:tc>
      </w:tr>
      <w:tr w:rsidR="00651FA9" w:rsidRPr="00AE36F0" w14:paraId="1243C486" w14:textId="77777777" w:rsidTr="00B72A61">
        <w:trPr>
          <w:trHeight w:val="527"/>
        </w:trPr>
        <w:tc>
          <w:tcPr>
            <w:tcW w:w="841" w:type="dxa"/>
            <w:tcBorders>
              <w:top w:val="nil"/>
              <w:left w:val="single" w:sz="8" w:space="0" w:color="auto"/>
              <w:bottom w:val="single" w:sz="8" w:space="0" w:color="auto"/>
              <w:right w:val="single" w:sz="8" w:space="0" w:color="auto"/>
            </w:tcBorders>
            <w:vAlign w:val="center"/>
            <w:hideMark/>
          </w:tcPr>
          <w:p w14:paraId="3CA2C3AA" w14:textId="2C15878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550</w:t>
            </w:r>
          </w:p>
        </w:tc>
        <w:tc>
          <w:tcPr>
            <w:tcW w:w="3544" w:type="dxa"/>
            <w:tcBorders>
              <w:top w:val="nil"/>
              <w:left w:val="nil"/>
              <w:bottom w:val="single" w:sz="8" w:space="0" w:color="auto"/>
              <w:right w:val="single" w:sz="8" w:space="0" w:color="auto"/>
            </w:tcBorders>
            <w:vAlign w:val="center"/>
            <w:hideMark/>
          </w:tcPr>
          <w:p w14:paraId="4B391F35" w14:textId="436552F9"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TECNOLÓGICA DE LA MIXTECA</w:t>
            </w:r>
          </w:p>
        </w:tc>
        <w:tc>
          <w:tcPr>
            <w:tcW w:w="1701" w:type="dxa"/>
            <w:tcBorders>
              <w:top w:val="nil"/>
              <w:left w:val="nil"/>
              <w:bottom w:val="single" w:sz="8" w:space="0" w:color="auto"/>
              <w:right w:val="single" w:sz="8" w:space="0" w:color="auto"/>
            </w:tcBorders>
            <w:vAlign w:val="center"/>
            <w:hideMark/>
          </w:tcPr>
          <w:p w14:paraId="696F14E9" w14:textId="573FBB4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282,687,466</w:t>
            </w:r>
          </w:p>
        </w:tc>
        <w:tc>
          <w:tcPr>
            <w:tcW w:w="1701" w:type="dxa"/>
            <w:tcBorders>
              <w:top w:val="nil"/>
              <w:left w:val="nil"/>
              <w:bottom w:val="single" w:sz="8" w:space="0" w:color="auto"/>
              <w:right w:val="single" w:sz="8" w:space="0" w:color="auto"/>
            </w:tcBorders>
            <w:vAlign w:val="center"/>
            <w:hideMark/>
          </w:tcPr>
          <w:p w14:paraId="6582149F" w14:textId="02B6102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305,410,477</w:t>
            </w:r>
          </w:p>
        </w:tc>
        <w:tc>
          <w:tcPr>
            <w:tcW w:w="1559" w:type="dxa"/>
            <w:tcBorders>
              <w:top w:val="nil"/>
              <w:left w:val="nil"/>
              <w:bottom w:val="single" w:sz="8" w:space="0" w:color="auto"/>
              <w:right w:val="single" w:sz="8" w:space="0" w:color="auto"/>
            </w:tcBorders>
            <w:vAlign w:val="center"/>
            <w:hideMark/>
          </w:tcPr>
          <w:p w14:paraId="4A5DF9C5" w14:textId="0BB691A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22,723,010</w:t>
            </w:r>
          </w:p>
        </w:tc>
      </w:tr>
      <w:tr w:rsidR="00651FA9" w:rsidRPr="00AE36F0" w14:paraId="5DE025A8" w14:textId="77777777" w:rsidTr="00B72A61">
        <w:trPr>
          <w:trHeight w:val="535"/>
        </w:trPr>
        <w:tc>
          <w:tcPr>
            <w:tcW w:w="841" w:type="dxa"/>
            <w:tcBorders>
              <w:top w:val="nil"/>
              <w:left w:val="single" w:sz="8" w:space="0" w:color="auto"/>
              <w:bottom w:val="single" w:sz="8" w:space="0" w:color="auto"/>
              <w:right w:val="single" w:sz="8" w:space="0" w:color="auto"/>
            </w:tcBorders>
            <w:vAlign w:val="center"/>
            <w:hideMark/>
          </w:tcPr>
          <w:p w14:paraId="4CD706DF" w14:textId="4DAADA19"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551</w:t>
            </w:r>
          </w:p>
        </w:tc>
        <w:tc>
          <w:tcPr>
            <w:tcW w:w="3544" w:type="dxa"/>
            <w:tcBorders>
              <w:top w:val="nil"/>
              <w:left w:val="nil"/>
              <w:bottom w:val="single" w:sz="8" w:space="0" w:color="auto"/>
              <w:right w:val="single" w:sz="8" w:space="0" w:color="auto"/>
            </w:tcBorders>
            <w:vAlign w:val="center"/>
            <w:hideMark/>
          </w:tcPr>
          <w:p w14:paraId="702F69B5" w14:textId="2A1B1A34"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TECNOLÓGICA DE LA SIERRA SUR DE OAXACA</w:t>
            </w:r>
          </w:p>
        </w:tc>
        <w:tc>
          <w:tcPr>
            <w:tcW w:w="1701" w:type="dxa"/>
            <w:tcBorders>
              <w:top w:val="nil"/>
              <w:left w:val="nil"/>
              <w:bottom w:val="single" w:sz="8" w:space="0" w:color="auto"/>
              <w:right w:val="single" w:sz="8" w:space="0" w:color="auto"/>
            </w:tcBorders>
            <w:vAlign w:val="center"/>
            <w:hideMark/>
          </w:tcPr>
          <w:p w14:paraId="65F736A5" w14:textId="7569446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8,386,004</w:t>
            </w:r>
          </w:p>
        </w:tc>
        <w:tc>
          <w:tcPr>
            <w:tcW w:w="1701" w:type="dxa"/>
            <w:tcBorders>
              <w:top w:val="nil"/>
              <w:left w:val="nil"/>
              <w:bottom w:val="single" w:sz="8" w:space="0" w:color="auto"/>
              <w:right w:val="single" w:sz="8" w:space="0" w:color="auto"/>
            </w:tcBorders>
            <w:vAlign w:val="center"/>
            <w:hideMark/>
          </w:tcPr>
          <w:p w14:paraId="57F83560" w14:textId="66145BE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8,573,420</w:t>
            </w:r>
          </w:p>
        </w:tc>
        <w:tc>
          <w:tcPr>
            <w:tcW w:w="1559" w:type="dxa"/>
            <w:tcBorders>
              <w:top w:val="nil"/>
              <w:left w:val="nil"/>
              <w:bottom w:val="single" w:sz="8" w:space="0" w:color="auto"/>
              <w:right w:val="single" w:sz="8" w:space="0" w:color="auto"/>
            </w:tcBorders>
            <w:vAlign w:val="center"/>
            <w:hideMark/>
          </w:tcPr>
          <w:p w14:paraId="6824911E" w14:textId="3BFD21E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187,416</w:t>
            </w:r>
          </w:p>
        </w:tc>
      </w:tr>
      <w:tr w:rsidR="00651FA9" w:rsidRPr="00AE36F0" w14:paraId="466239B4"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7B117E3C" w14:textId="076910F4"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552</w:t>
            </w:r>
          </w:p>
        </w:tc>
        <w:tc>
          <w:tcPr>
            <w:tcW w:w="3544" w:type="dxa"/>
            <w:tcBorders>
              <w:top w:val="nil"/>
              <w:left w:val="nil"/>
              <w:bottom w:val="single" w:sz="8" w:space="0" w:color="auto"/>
              <w:right w:val="single" w:sz="8" w:space="0" w:color="auto"/>
            </w:tcBorders>
            <w:vAlign w:val="center"/>
            <w:hideMark/>
          </w:tcPr>
          <w:p w14:paraId="6924CCB0" w14:textId="215EF1E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TECNOLÓGICA DE LOS VALLES CENTRALES DE OAXACA</w:t>
            </w:r>
          </w:p>
        </w:tc>
        <w:tc>
          <w:tcPr>
            <w:tcW w:w="1701" w:type="dxa"/>
            <w:tcBorders>
              <w:top w:val="nil"/>
              <w:left w:val="nil"/>
              <w:bottom w:val="single" w:sz="8" w:space="0" w:color="auto"/>
              <w:right w:val="single" w:sz="8" w:space="0" w:color="auto"/>
            </w:tcBorders>
            <w:vAlign w:val="center"/>
            <w:hideMark/>
          </w:tcPr>
          <w:p w14:paraId="43CD76BF" w14:textId="2E2F06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81,461,811</w:t>
            </w:r>
          </w:p>
        </w:tc>
        <w:tc>
          <w:tcPr>
            <w:tcW w:w="1701" w:type="dxa"/>
            <w:tcBorders>
              <w:top w:val="nil"/>
              <w:left w:val="nil"/>
              <w:bottom w:val="single" w:sz="8" w:space="0" w:color="auto"/>
              <w:right w:val="single" w:sz="8" w:space="0" w:color="auto"/>
            </w:tcBorders>
            <w:vAlign w:val="center"/>
            <w:hideMark/>
          </w:tcPr>
          <w:p w14:paraId="3C514C10" w14:textId="53B2A7B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81,358,953</w:t>
            </w:r>
          </w:p>
        </w:tc>
        <w:tc>
          <w:tcPr>
            <w:tcW w:w="1559" w:type="dxa"/>
            <w:tcBorders>
              <w:top w:val="nil"/>
              <w:left w:val="nil"/>
              <w:bottom w:val="single" w:sz="8" w:space="0" w:color="auto"/>
              <w:right w:val="single" w:sz="8" w:space="0" w:color="auto"/>
            </w:tcBorders>
            <w:vAlign w:val="center"/>
            <w:hideMark/>
          </w:tcPr>
          <w:p w14:paraId="15DFD104" w14:textId="18FC1D4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-102,858</w:t>
            </w:r>
          </w:p>
        </w:tc>
      </w:tr>
      <w:tr w:rsidR="00651FA9" w:rsidRPr="00AE36F0" w14:paraId="29E3D007" w14:textId="77777777" w:rsidTr="00B72A61">
        <w:trPr>
          <w:trHeight w:val="297"/>
        </w:trPr>
        <w:tc>
          <w:tcPr>
            <w:tcW w:w="841" w:type="dxa"/>
            <w:tcBorders>
              <w:top w:val="nil"/>
              <w:left w:val="single" w:sz="8" w:space="0" w:color="auto"/>
              <w:bottom w:val="single" w:sz="8" w:space="0" w:color="auto"/>
              <w:right w:val="single" w:sz="8" w:space="0" w:color="auto"/>
            </w:tcBorders>
            <w:vAlign w:val="center"/>
            <w:hideMark/>
          </w:tcPr>
          <w:p w14:paraId="414C9185" w14:textId="35CA06B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554</w:t>
            </w:r>
          </w:p>
        </w:tc>
        <w:tc>
          <w:tcPr>
            <w:tcW w:w="3544" w:type="dxa"/>
            <w:tcBorders>
              <w:top w:val="nil"/>
              <w:left w:val="nil"/>
              <w:bottom w:val="single" w:sz="8" w:space="0" w:color="auto"/>
              <w:right w:val="single" w:sz="8" w:space="0" w:color="auto"/>
            </w:tcBorders>
            <w:vAlign w:val="center"/>
            <w:hideMark/>
          </w:tcPr>
          <w:p w14:paraId="31778112" w14:textId="6BB636B6"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DEFENSORÍA PÚBLICA DEL ESTADO DE OAXACA</w:t>
            </w:r>
          </w:p>
        </w:tc>
        <w:tc>
          <w:tcPr>
            <w:tcW w:w="1701" w:type="dxa"/>
            <w:tcBorders>
              <w:top w:val="nil"/>
              <w:left w:val="nil"/>
              <w:bottom w:val="single" w:sz="8" w:space="0" w:color="auto"/>
              <w:right w:val="single" w:sz="8" w:space="0" w:color="auto"/>
            </w:tcBorders>
            <w:vAlign w:val="center"/>
            <w:hideMark/>
          </w:tcPr>
          <w:p w14:paraId="509F5CA4" w14:textId="5499F4B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2,159,105</w:t>
            </w:r>
          </w:p>
        </w:tc>
        <w:tc>
          <w:tcPr>
            <w:tcW w:w="1701" w:type="dxa"/>
            <w:tcBorders>
              <w:top w:val="nil"/>
              <w:left w:val="nil"/>
              <w:bottom w:val="single" w:sz="8" w:space="0" w:color="auto"/>
              <w:right w:val="single" w:sz="8" w:space="0" w:color="auto"/>
            </w:tcBorders>
            <w:vAlign w:val="center"/>
            <w:hideMark/>
          </w:tcPr>
          <w:p w14:paraId="0CB1D5E6" w14:textId="0C52A2F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1,584,093</w:t>
            </w:r>
          </w:p>
        </w:tc>
        <w:tc>
          <w:tcPr>
            <w:tcW w:w="1559" w:type="dxa"/>
            <w:tcBorders>
              <w:top w:val="nil"/>
              <w:left w:val="nil"/>
              <w:bottom w:val="single" w:sz="8" w:space="0" w:color="auto"/>
              <w:right w:val="single" w:sz="8" w:space="0" w:color="auto"/>
            </w:tcBorders>
            <w:vAlign w:val="center"/>
            <w:hideMark/>
          </w:tcPr>
          <w:p w14:paraId="1D6795A0" w14:textId="0856F00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-575,012</w:t>
            </w:r>
          </w:p>
        </w:tc>
      </w:tr>
      <w:tr w:rsidR="00651FA9" w:rsidRPr="00AE36F0" w14:paraId="0B7B983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23B05929" w14:textId="4EBAF15D"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558</w:t>
            </w:r>
          </w:p>
        </w:tc>
        <w:tc>
          <w:tcPr>
            <w:tcW w:w="3544" w:type="dxa"/>
            <w:tcBorders>
              <w:top w:val="nil"/>
              <w:left w:val="nil"/>
              <w:bottom w:val="single" w:sz="8" w:space="0" w:color="auto"/>
              <w:right w:val="single" w:sz="8" w:space="0" w:color="auto"/>
            </w:tcBorders>
            <w:vAlign w:val="center"/>
            <w:hideMark/>
          </w:tcPr>
          <w:p w14:paraId="3F5951B6" w14:textId="1092738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LA FUNCIÓN REGISTRAL DEL ESTADO DE OAXACA</w:t>
            </w:r>
          </w:p>
        </w:tc>
        <w:tc>
          <w:tcPr>
            <w:tcW w:w="1701" w:type="dxa"/>
            <w:tcBorders>
              <w:top w:val="nil"/>
              <w:left w:val="nil"/>
              <w:bottom w:val="single" w:sz="8" w:space="0" w:color="auto"/>
              <w:right w:val="single" w:sz="8" w:space="0" w:color="auto"/>
            </w:tcBorders>
            <w:vAlign w:val="center"/>
            <w:hideMark/>
          </w:tcPr>
          <w:p w14:paraId="60A08875" w14:textId="20554D64"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30,684,493</w:t>
            </w:r>
          </w:p>
        </w:tc>
        <w:tc>
          <w:tcPr>
            <w:tcW w:w="1701" w:type="dxa"/>
            <w:tcBorders>
              <w:top w:val="nil"/>
              <w:left w:val="nil"/>
              <w:bottom w:val="single" w:sz="8" w:space="0" w:color="auto"/>
              <w:right w:val="single" w:sz="8" w:space="0" w:color="auto"/>
            </w:tcBorders>
            <w:vAlign w:val="center"/>
            <w:hideMark/>
          </w:tcPr>
          <w:p w14:paraId="099FEC70" w14:textId="62625D5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30,684,493</w:t>
            </w:r>
          </w:p>
        </w:tc>
        <w:tc>
          <w:tcPr>
            <w:tcW w:w="1559" w:type="dxa"/>
            <w:tcBorders>
              <w:top w:val="nil"/>
              <w:left w:val="nil"/>
              <w:bottom w:val="single" w:sz="8" w:space="0" w:color="auto"/>
              <w:right w:val="single" w:sz="8" w:space="0" w:color="auto"/>
            </w:tcBorders>
            <w:vAlign w:val="center"/>
            <w:hideMark/>
          </w:tcPr>
          <w:p w14:paraId="573E48CC" w14:textId="1A13423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r>
      <w:tr w:rsidR="00651FA9" w:rsidRPr="00AE36F0" w14:paraId="1BF7B3DC" w14:textId="77777777" w:rsidTr="00B72A61">
        <w:trPr>
          <w:trHeight w:val="724"/>
        </w:trPr>
        <w:tc>
          <w:tcPr>
            <w:tcW w:w="841" w:type="dxa"/>
            <w:tcBorders>
              <w:top w:val="nil"/>
              <w:left w:val="single" w:sz="8" w:space="0" w:color="auto"/>
              <w:bottom w:val="single" w:sz="8" w:space="0" w:color="auto"/>
              <w:right w:val="single" w:sz="8" w:space="0" w:color="auto"/>
            </w:tcBorders>
            <w:vAlign w:val="center"/>
            <w:hideMark/>
          </w:tcPr>
          <w:p w14:paraId="1F8B7B94" w14:textId="72EA25CF"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559</w:t>
            </w:r>
          </w:p>
        </w:tc>
        <w:tc>
          <w:tcPr>
            <w:tcW w:w="3544" w:type="dxa"/>
            <w:tcBorders>
              <w:top w:val="nil"/>
              <w:left w:val="nil"/>
              <w:bottom w:val="single" w:sz="8" w:space="0" w:color="auto"/>
              <w:right w:val="single" w:sz="8" w:space="0" w:color="auto"/>
            </w:tcBorders>
            <w:vAlign w:val="center"/>
            <w:hideMark/>
          </w:tcPr>
          <w:p w14:paraId="4510B16F" w14:textId="308DD261"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SECRETARÍA EJECUTIVA DEL SISTEMA ESTATAL DE COMBATE A LA CORRUPCIÓN</w:t>
            </w:r>
          </w:p>
        </w:tc>
        <w:tc>
          <w:tcPr>
            <w:tcW w:w="1701" w:type="dxa"/>
            <w:tcBorders>
              <w:top w:val="nil"/>
              <w:left w:val="nil"/>
              <w:bottom w:val="single" w:sz="8" w:space="0" w:color="auto"/>
              <w:right w:val="single" w:sz="8" w:space="0" w:color="auto"/>
            </w:tcBorders>
            <w:vAlign w:val="center"/>
            <w:hideMark/>
          </w:tcPr>
          <w:p w14:paraId="2C73D2E8" w14:textId="046C5D3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825,355</w:t>
            </w:r>
          </w:p>
        </w:tc>
        <w:tc>
          <w:tcPr>
            <w:tcW w:w="1701" w:type="dxa"/>
            <w:tcBorders>
              <w:top w:val="nil"/>
              <w:left w:val="nil"/>
              <w:bottom w:val="single" w:sz="8" w:space="0" w:color="auto"/>
              <w:right w:val="single" w:sz="8" w:space="0" w:color="auto"/>
            </w:tcBorders>
            <w:vAlign w:val="center"/>
            <w:hideMark/>
          </w:tcPr>
          <w:p w14:paraId="726ED11D" w14:textId="64758EC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928,145</w:t>
            </w:r>
          </w:p>
        </w:tc>
        <w:tc>
          <w:tcPr>
            <w:tcW w:w="1559" w:type="dxa"/>
            <w:tcBorders>
              <w:top w:val="nil"/>
              <w:left w:val="nil"/>
              <w:bottom w:val="single" w:sz="8" w:space="0" w:color="auto"/>
              <w:right w:val="single" w:sz="8" w:space="0" w:color="auto"/>
            </w:tcBorders>
            <w:vAlign w:val="center"/>
            <w:hideMark/>
          </w:tcPr>
          <w:p w14:paraId="205946A4" w14:textId="6D05EF7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102,789</w:t>
            </w:r>
          </w:p>
        </w:tc>
      </w:tr>
      <w:tr w:rsidR="00651FA9" w:rsidRPr="00AE36F0" w14:paraId="31191425" w14:textId="77777777" w:rsidTr="00B72A61">
        <w:trPr>
          <w:trHeight w:val="1104"/>
        </w:trPr>
        <w:tc>
          <w:tcPr>
            <w:tcW w:w="841" w:type="dxa"/>
            <w:tcBorders>
              <w:top w:val="nil"/>
              <w:left w:val="single" w:sz="8" w:space="0" w:color="auto"/>
              <w:bottom w:val="single" w:sz="8" w:space="0" w:color="auto"/>
              <w:right w:val="single" w:sz="8" w:space="0" w:color="auto"/>
            </w:tcBorders>
            <w:vAlign w:val="center"/>
            <w:hideMark/>
          </w:tcPr>
          <w:p w14:paraId="08BBADD5" w14:textId="4903E681"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lastRenderedPageBreak/>
              <w:t>561</w:t>
            </w:r>
          </w:p>
        </w:tc>
        <w:tc>
          <w:tcPr>
            <w:tcW w:w="3544" w:type="dxa"/>
            <w:tcBorders>
              <w:top w:val="nil"/>
              <w:left w:val="nil"/>
              <w:bottom w:val="single" w:sz="8" w:space="0" w:color="auto"/>
              <w:right w:val="single" w:sz="8" w:space="0" w:color="auto"/>
            </w:tcBorders>
            <w:vAlign w:val="center"/>
            <w:hideMark/>
          </w:tcPr>
          <w:p w14:paraId="23086C9E" w14:textId="0BC0B49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ORGANISMO OPERADOR ENCARGADO DE LA GESTIÓN Y MANEJO INTEGRAL DE LOS RESIDUOS SÓLIDOS URBANOS Y DE MANEJO ESPECIAL DEL ESTADO DE OAXACA</w:t>
            </w:r>
          </w:p>
        </w:tc>
        <w:tc>
          <w:tcPr>
            <w:tcW w:w="1701" w:type="dxa"/>
            <w:tcBorders>
              <w:top w:val="nil"/>
              <w:left w:val="nil"/>
              <w:bottom w:val="single" w:sz="8" w:space="0" w:color="auto"/>
              <w:right w:val="single" w:sz="8" w:space="0" w:color="auto"/>
            </w:tcBorders>
            <w:vAlign w:val="center"/>
            <w:hideMark/>
          </w:tcPr>
          <w:p w14:paraId="153BB1A2" w14:textId="1D097EF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22,192,618</w:t>
            </w:r>
          </w:p>
        </w:tc>
        <w:tc>
          <w:tcPr>
            <w:tcW w:w="1701" w:type="dxa"/>
            <w:tcBorders>
              <w:top w:val="nil"/>
              <w:left w:val="nil"/>
              <w:bottom w:val="single" w:sz="8" w:space="0" w:color="auto"/>
              <w:right w:val="single" w:sz="8" w:space="0" w:color="auto"/>
            </w:tcBorders>
            <w:vAlign w:val="center"/>
            <w:hideMark/>
          </w:tcPr>
          <w:p w14:paraId="2E1A4B3A" w14:textId="38A6AEB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37,225,919</w:t>
            </w:r>
          </w:p>
        </w:tc>
        <w:tc>
          <w:tcPr>
            <w:tcW w:w="1559" w:type="dxa"/>
            <w:tcBorders>
              <w:top w:val="nil"/>
              <w:left w:val="nil"/>
              <w:bottom w:val="single" w:sz="8" w:space="0" w:color="auto"/>
              <w:right w:val="single" w:sz="8" w:space="0" w:color="auto"/>
            </w:tcBorders>
            <w:vAlign w:val="center"/>
            <w:hideMark/>
          </w:tcPr>
          <w:p w14:paraId="41C4AC76" w14:textId="70F759E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15,033,302</w:t>
            </w:r>
          </w:p>
        </w:tc>
      </w:tr>
      <w:tr w:rsidR="00651FA9" w:rsidRPr="00AE36F0" w14:paraId="03D32DBE" w14:textId="77777777" w:rsidTr="00B72A61">
        <w:trPr>
          <w:trHeight w:val="485"/>
        </w:trPr>
        <w:tc>
          <w:tcPr>
            <w:tcW w:w="841" w:type="dxa"/>
            <w:tcBorders>
              <w:top w:val="nil"/>
              <w:left w:val="single" w:sz="8" w:space="0" w:color="auto"/>
              <w:bottom w:val="single" w:sz="8" w:space="0" w:color="auto"/>
              <w:right w:val="single" w:sz="8" w:space="0" w:color="auto"/>
            </w:tcBorders>
            <w:vAlign w:val="center"/>
            <w:hideMark/>
          </w:tcPr>
          <w:p w14:paraId="2A268AC9" w14:textId="4CEDC89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562</w:t>
            </w:r>
          </w:p>
        </w:tc>
        <w:tc>
          <w:tcPr>
            <w:tcW w:w="3544" w:type="dxa"/>
            <w:tcBorders>
              <w:top w:val="nil"/>
              <w:left w:val="nil"/>
              <w:bottom w:val="single" w:sz="8" w:space="0" w:color="auto"/>
              <w:right w:val="single" w:sz="8" w:space="0" w:color="auto"/>
            </w:tcBorders>
            <w:vAlign w:val="center"/>
            <w:hideMark/>
          </w:tcPr>
          <w:p w14:paraId="23A71577" w14:textId="58E2153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COORDINACIÓN DE DELEGADOS DE PAZ SOCIAL</w:t>
            </w:r>
          </w:p>
        </w:tc>
        <w:tc>
          <w:tcPr>
            <w:tcW w:w="1701" w:type="dxa"/>
            <w:tcBorders>
              <w:top w:val="nil"/>
              <w:left w:val="nil"/>
              <w:bottom w:val="single" w:sz="8" w:space="0" w:color="auto"/>
              <w:right w:val="single" w:sz="8" w:space="0" w:color="auto"/>
            </w:tcBorders>
            <w:vAlign w:val="center"/>
            <w:hideMark/>
          </w:tcPr>
          <w:p w14:paraId="5BEF44E7" w14:textId="676FF31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1,389,035</w:t>
            </w:r>
          </w:p>
        </w:tc>
        <w:tc>
          <w:tcPr>
            <w:tcW w:w="1701" w:type="dxa"/>
            <w:tcBorders>
              <w:top w:val="nil"/>
              <w:left w:val="nil"/>
              <w:bottom w:val="single" w:sz="8" w:space="0" w:color="auto"/>
              <w:right w:val="single" w:sz="8" w:space="0" w:color="auto"/>
            </w:tcBorders>
            <w:vAlign w:val="center"/>
            <w:hideMark/>
          </w:tcPr>
          <w:p w14:paraId="0533477C" w14:textId="337BA62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1,320,523</w:t>
            </w:r>
          </w:p>
        </w:tc>
        <w:tc>
          <w:tcPr>
            <w:tcW w:w="1559" w:type="dxa"/>
            <w:tcBorders>
              <w:top w:val="nil"/>
              <w:left w:val="nil"/>
              <w:bottom w:val="single" w:sz="8" w:space="0" w:color="auto"/>
              <w:right w:val="single" w:sz="8" w:space="0" w:color="auto"/>
            </w:tcBorders>
            <w:vAlign w:val="center"/>
            <w:hideMark/>
          </w:tcPr>
          <w:p w14:paraId="1B4A134D" w14:textId="4606E87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-68,513</w:t>
            </w:r>
          </w:p>
        </w:tc>
      </w:tr>
      <w:tr w:rsidR="00651FA9" w:rsidRPr="00AE36F0" w14:paraId="4ADB1AC7" w14:textId="77777777" w:rsidTr="00B72A61">
        <w:trPr>
          <w:trHeight w:val="407"/>
        </w:trPr>
        <w:tc>
          <w:tcPr>
            <w:tcW w:w="841" w:type="dxa"/>
            <w:tcBorders>
              <w:top w:val="nil"/>
              <w:left w:val="single" w:sz="8" w:space="0" w:color="auto"/>
              <w:bottom w:val="single" w:sz="8" w:space="0" w:color="auto"/>
              <w:right w:val="single" w:sz="8" w:space="0" w:color="auto"/>
            </w:tcBorders>
            <w:vAlign w:val="center"/>
            <w:hideMark/>
          </w:tcPr>
          <w:p w14:paraId="578E9169" w14:textId="4EBE5BD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563</w:t>
            </w:r>
          </w:p>
        </w:tc>
        <w:tc>
          <w:tcPr>
            <w:tcW w:w="3544" w:type="dxa"/>
            <w:tcBorders>
              <w:top w:val="nil"/>
              <w:left w:val="nil"/>
              <w:bottom w:val="single" w:sz="8" w:space="0" w:color="auto"/>
              <w:right w:val="single" w:sz="8" w:space="0" w:color="auto"/>
            </w:tcBorders>
            <w:vAlign w:val="center"/>
            <w:hideMark/>
          </w:tcPr>
          <w:p w14:paraId="136D5C9D" w14:textId="548B0C27"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TELEBACHILLERATO COMUNITARIO DEL ESTADO DE OAXACA</w:t>
            </w:r>
          </w:p>
        </w:tc>
        <w:tc>
          <w:tcPr>
            <w:tcW w:w="1701" w:type="dxa"/>
            <w:tcBorders>
              <w:top w:val="nil"/>
              <w:left w:val="nil"/>
              <w:bottom w:val="single" w:sz="8" w:space="0" w:color="auto"/>
              <w:right w:val="single" w:sz="8" w:space="0" w:color="auto"/>
            </w:tcBorders>
            <w:vAlign w:val="center"/>
            <w:hideMark/>
          </w:tcPr>
          <w:p w14:paraId="6586A2FD" w14:textId="36741B9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4,601,289</w:t>
            </w:r>
          </w:p>
        </w:tc>
        <w:tc>
          <w:tcPr>
            <w:tcW w:w="1701" w:type="dxa"/>
            <w:tcBorders>
              <w:top w:val="nil"/>
              <w:left w:val="nil"/>
              <w:bottom w:val="single" w:sz="8" w:space="0" w:color="auto"/>
              <w:right w:val="single" w:sz="8" w:space="0" w:color="auto"/>
            </w:tcBorders>
            <w:vAlign w:val="center"/>
            <w:hideMark/>
          </w:tcPr>
          <w:p w14:paraId="7927A756" w14:textId="38DCF85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3,933,682</w:t>
            </w:r>
          </w:p>
        </w:tc>
        <w:tc>
          <w:tcPr>
            <w:tcW w:w="1559" w:type="dxa"/>
            <w:tcBorders>
              <w:top w:val="nil"/>
              <w:left w:val="nil"/>
              <w:bottom w:val="single" w:sz="8" w:space="0" w:color="auto"/>
              <w:right w:val="single" w:sz="8" w:space="0" w:color="auto"/>
            </w:tcBorders>
            <w:vAlign w:val="center"/>
            <w:hideMark/>
          </w:tcPr>
          <w:p w14:paraId="014B8FDF" w14:textId="725F334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-667,608</w:t>
            </w:r>
          </w:p>
        </w:tc>
      </w:tr>
      <w:tr w:rsidR="00651FA9" w:rsidRPr="00AE36F0" w14:paraId="3F8C1810"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529F2A0C" w14:textId="308828B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565</w:t>
            </w:r>
          </w:p>
        </w:tc>
        <w:tc>
          <w:tcPr>
            <w:tcW w:w="3544" w:type="dxa"/>
            <w:tcBorders>
              <w:top w:val="nil"/>
              <w:left w:val="nil"/>
              <w:bottom w:val="single" w:sz="8" w:space="0" w:color="auto"/>
              <w:right w:val="single" w:sz="8" w:space="0" w:color="auto"/>
            </w:tcBorders>
            <w:vAlign w:val="center"/>
            <w:hideMark/>
          </w:tcPr>
          <w:p w14:paraId="3F1CE6ED" w14:textId="4C317AA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DEL DEPORTE</w:t>
            </w:r>
          </w:p>
        </w:tc>
        <w:tc>
          <w:tcPr>
            <w:tcW w:w="1701" w:type="dxa"/>
            <w:tcBorders>
              <w:top w:val="nil"/>
              <w:left w:val="nil"/>
              <w:bottom w:val="single" w:sz="8" w:space="0" w:color="auto"/>
              <w:right w:val="single" w:sz="8" w:space="0" w:color="auto"/>
            </w:tcBorders>
            <w:vAlign w:val="center"/>
            <w:hideMark/>
          </w:tcPr>
          <w:p w14:paraId="52D3E066" w14:textId="0E292CC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4,425,020</w:t>
            </w:r>
          </w:p>
        </w:tc>
        <w:tc>
          <w:tcPr>
            <w:tcW w:w="1701" w:type="dxa"/>
            <w:tcBorders>
              <w:top w:val="nil"/>
              <w:left w:val="nil"/>
              <w:bottom w:val="single" w:sz="8" w:space="0" w:color="auto"/>
              <w:right w:val="single" w:sz="8" w:space="0" w:color="auto"/>
            </w:tcBorders>
            <w:vAlign w:val="center"/>
            <w:hideMark/>
          </w:tcPr>
          <w:p w14:paraId="25547BC7" w14:textId="786D896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3,464,063</w:t>
            </w:r>
          </w:p>
        </w:tc>
        <w:tc>
          <w:tcPr>
            <w:tcW w:w="1559" w:type="dxa"/>
            <w:tcBorders>
              <w:top w:val="nil"/>
              <w:left w:val="nil"/>
              <w:bottom w:val="single" w:sz="8" w:space="0" w:color="auto"/>
              <w:right w:val="single" w:sz="8" w:space="0" w:color="auto"/>
            </w:tcBorders>
            <w:vAlign w:val="center"/>
            <w:hideMark/>
          </w:tcPr>
          <w:p w14:paraId="351D4926" w14:textId="76B30CE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-960,957</w:t>
            </w:r>
          </w:p>
        </w:tc>
      </w:tr>
      <w:tr w:rsidR="00651FA9" w:rsidRPr="00AE36F0" w14:paraId="570C718A"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7C83EECE" w14:textId="45ABFDB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568</w:t>
            </w:r>
          </w:p>
        </w:tc>
        <w:tc>
          <w:tcPr>
            <w:tcW w:w="3544" w:type="dxa"/>
            <w:tcBorders>
              <w:top w:val="nil"/>
              <w:left w:val="nil"/>
              <w:bottom w:val="single" w:sz="8" w:space="0" w:color="auto"/>
              <w:right w:val="single" w:sz="8" w:space="0" w:color="auto"/>
            </w:tcBorders>
            <w:vAlign w:val="center"/>
            <w:hideMark/>
          </w:tcPr>
          <w:p w14:paraId="6C6D6299" w14:textId="58B3CFE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SISTEMA DE TRANSPORTE COLECTIVO METROPOLITANO CITYBUS OAXACA</w:t>
            </w:r>
          </w:p>
        </w:tc>
        <w:tc>
          <w:tcPr>
            <w:tcW w:w="1701" w:type="dxa"/>
            <w:tcBorders>
              <w:top w:val="nil"/>
              <w:left w:val="nil"/>
              <w:bottom w:val="single" w:sz="8" w:space="0" w:color="auto"/>
              <w:right w:val="single" w:sz="8" w:space="0" w:color="auto"/>
            </w:tcBorders>
            <w:vAlign w:val="center"/>
            <w:hideMark/>
          </w:tcPr>
          <w:p w14:paraId="3B6C7AE6" w14:textId="714E7D1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83,553,110</w:t>
            </w:r>
          </w:p>
        </w:tc>
        <w:tc>
          <w:tcPr>
            <w:tcW w:w="1701" w:type="dxa"/>
            <w:tcBorders>
              <w:top w:val="nil"/>
              <w:left w:val="nil"/>
              <w:bottom w:val="single" w:sz="8" w:space="0" w:color="auto"/>
              <w:right w:val="single" w:sz="8" w:space="0" w:color="auto"/>
            </w:tcBorders>
            <w:vAlign w:val="center"/>
            <w:hideMark/>
          </w:tcPr>
          <w:p w14:paraId="4BB39203" w14:textId="1AD1AED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718,465,081</w:t>
            </w:r>
          </w:p>
        </w:tc>
        <w:tc>
          <w:tcPr>
            <w:tcW w:w="1559" w:type="dxa"/>
            <w:tcBorders>
              <w:top w:val="nil"/>
              <w:left w:val="nil"/>
              <w:bottom w:val="single" w:sz="8" w:space="0" w:color="auto"/>
              <w:right w:val="single" w:sz="8" w:space="0" w:color="auto"/>
            </w:tcBorders>
            <w:vAlign w:val="center"/>
            <w:hideMark/>
          </w:tcPr>
          <w:p w14:paraId="42F5495E" w14:textId="66F7C1C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634,911,971</w:t>
            </w:r>
          </w:p>
        </w:tc>
      </w:tr>
      <w:tr w:rsidR="00651FA9" w:rsidRPr="00AE36F0" w14:paraId="10D15DB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36CA589" w14:textId="0AD12C1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569</w:t>
            </w:r>
          </w:p>
        </w:tc>
        <w:tc>
          <w:tcPr>
            <w:tcW w:w="3544" w:type="dxa"/>
            <w:tcBorders>
              <w:top w:val="nil"/>
              <w:left w:val="nil"/>
              <w:bottom w:val="single" w:sz="8" w:space="0" w:color="auto"/>
              <w:right w:val="single" w:sz="8" w:space="0" w:color="auto"/>
            </w:tcBorders>
            <w:vAlign w:val="center"/>
            <w:hideMark/>
          </w:tcPr>
          <w:p w14:paraId="4A17298C" w14:textId="76BAD98E"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POLITÉCNICA DE NOCHIXTLÁN ABRAHAM CASTELLANOS</w:t>
            </w:r>
          </w:p>
        </w:tc>
        <w:tc>
          <w:tcPr>
            <w:tcW w:w="1701" w:type="dxa"/>
            <w:tcBorders>
              <w:top w:val="nil"/>
              <w:left w:val="nil"/>
              <w:bottom w:val="single" w:sz="8" w:space="0" w:color="auto"/>
              <w:right w:val="single" w:sz="8" w:space="0" w:color="auto"/>
            </w:tcBorders>
            <w:vAlign w:val="center"/>
            <w:hideMark/>
          </w:tcPr>
          <w:p w14:paraId="75A1C336" w14:textId="1ED8C5B8"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2,337,549</w:t>
            </w:r>
          </w:p>
        </w:tc>
        <w:tc>
          <w:tcPr>
            <w:tcW w:w="1701" w:type="dxa"/>
            <w:tcBorders>
              <w:top w:val="nil"/>
              <w:left w:val="nil"/>
              <w:bottom w:val="single" w:sz="8" w:space="0" w:color="auto"/>
              <w:right w:val="single" w:sz="8" w:space="0" w:color="auto"/>
            </w:tcBorders>
            <w:vAlign w:val="center"/>
            <w:hideMark/>
          </w:tcPr>
          <w:p w14:paraId="59CAE946" w14:textId="3199A14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3,511,516</w:t>
            </w:r>
          </w:p>
        </w:tc>
        <w:tc>
          <w:tcPr>
            <w:tcW w:w="1559" w:type="dxa"/>
            <w:tcBorders>
              <w:top w:val="nil"/>
              <w:left w:val="nil"/>
              <w:bottom w:val="single" w:sz="8" w:space="0" w:color="auto"/>
              <w:right w:val="single" w:sz="8" w:space="0" w:color="auto"/>
            </w:tcBorders>
            <w:vAlign w:val="center"/>
            <w:hideMark/>
          </w:tcPr>
          <w:p w14:paraId="5864099B" w14:textId="45A1A13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1,173,967</w:t>
            </w:r>
          </w:p>
        </w:tc>
      </w:tr>
      <w:tr w:rsidR="00651FA9" w:rsidRPr="00AE36F0" w14:paraId="55636674" w14:textId="77777777" w:rsidTr="00B72A61">
        <w:trPr>
          <w:trHeight w:val="488"/>
        </w:trPr>
        <w:tc>
          <w:tcPr>
            <w:tcW w:w="841" w:type="dxa"/>
            <w:tcBorders>
              <w:top w:val="nil"/>
              <w:left w:val="single" w:sz="8" w:space="0" w:color="auto"/>
              <w:bottom w:val="single" w:sz="8" w:space="0" w:color="auto"/>
              <w:right w:val="single" w:sz="8" w:space="0" w:color="auto"/>
            </w:tcBorders>
            <w:vAlign w:val="center"/>
            <w:hideMark/>
          </w:tcPr>
          <w:p w14:paraId="4B053096" w14:textId="1761C0B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570</w:t>
            </w:r>
          </w:p>
        </w:tc>
        <w:tc>
          <w:tcPr>
            <w:tcW w:w="3544" w:type="dxa"/>
            <w:tcBorders>
              <w:top w:val="nil"/>
              <w:left w:val="nil"/>
              <w:bottom w:val="single" w:sz="8" w:space="0" w:color="auto"/>
              <w:right w:val="single" w:sz="8" w:space="0" w:color="auto"/>
            </w:tcBorders>
            <w:vAlign w:val="center"/>
            <w:hideMark/>
          </w:tcPr>
          <w:p w14:paraId="2125D50B" w14:textId="43ED12BD"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AUTÓNOMA COMUNAL DE OAXACA</w:t>
            </w:r>
          </w:p>
        </w:tc>
        <w:tc>
          <w:tcPr>
            <w:tcW w:w="1701" w:type="dxa"/>
            <w:tcBorders>
              <w:top w:val="nil"/>
              <w:left w:val="nil"/>
              <w:bottom w:val="single" w:sz="8" w:space="0" w:color="auto"/>
              <w:right w:val="single" w:sz="8" w:space="0" w:color="auto"/>
            </w:tcBorders>
            <w:vAlign w:val="center"/>
            <w:hideMark/>
          </w:tcPr>
          <w:p w14:paraId="436AC5B6" w14:textId="6132055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3,751,895</w:t>
            </w:r>
          </w:p>
        </w:tc>
        <w:tc>
          <w:tcPr>
            <w:tcW w:w="1701" w:type="dxa"/>
            <w:tcBorders>
              <w:top w:val="nil"/>
              <w:left w:val="nil"/>
              <w:bottom w:val="single" w:sz="8" w:space="0" w:color="auto"/>
              <w:right w:val="single" w:sz="8" w:space="0" w:color="auto"/>
            </w:tcBorders>
            <w:vAlign w:val="center"/>
            <w:hideMark/>
          </w:tcPr>
          <w:p w14:paraId="722FB23A" w14:textId="464AB2C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8,109,301</w:t>
            </w:r>
          </w:p>
        </w:tc>
        <w:tc>
          <w:tcPr>
            <w:tcW w:w="1559" w:type="dxa"/>
            <w:tcBorders>
              <w:top w:val="nil"/>
              <w:left w:val="nil"/>
              <w:bottom w:val="single" w:sz="8" w:space="0" w:color="auto"/>
              <w:right w:val="single" w:sz="8" w:space="0" w:color="auto"/>
            </w:tcBorders>
            <w:vAlign w:val="center"/>
            <w:hideMark/>
          </w:tcPr>
          <w:p w14:paraId="2AD5567B" w14:textId="6C39B7F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4,357,406</w:t>
            </w:r>
          </w:p>
        </w:tc>
      </w:tr>
      <w:tr w:rsidR="00651FA9" w:rsidRPr="00AE36F0" w14:paraId="44C4C960" w14:textId="77777777" w:rsidTr="00B72A61">
        <w:trPr>
          <w:trHeight w:val="552"/>
        </w:trPr>
        <w:tc>
          <w:tcPr>
            <w:tcW w:w="841" w:type="dxa"/>
            <w:tcBorders>
              <w:top w:val="nil"/>
              <w:left w:val="single" w:sz="8" w:space="0" w:color="auto"/>
              <w:bottom w:val="single" w:sz="8" w:space="0" w:color="auto"/>
              <w:right w:val="single" w:sz="8" w:space="0" w:color="auto"/>
            </w:tcBorders>
            <w:vAlign w:val="center"/>
            <w:hideMark/>
          </w:tcPr>
          <w:p w14:paraId="615E4BB4" w14:textId="66E2DD07"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571</w:t>
            </w:r>
          </w:p>
        </w:tc>
        <w:tc>
          <w:tcPr>
            <w:tcW w:w="3544" w:type="dxa"/>
            <w:tcBorders>
              <w:top w:val="nil"/>
              <w:left w:val="nil"/>
              <w:bottom w:val="single" w:sz="8" w:space="0" w:color="auto"/>
              <w:right w:val="single" w:sz="8" w:space="0" w:color="auto"/>
            </w:tcBorders>
            <w:vAlign w:val="center"/>
            <w:hideMark/>
          </w:tcPr>
          <w:p w14:paraId="798B10E1" w14:textId="2AB9701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ESTATAL DE BÚSQUEDA DE PERSONAS DESAPARECIDAS PARA EL ESTADO DE OAXACA</w:t>
            </w:r>
          </w:p>
        </w:tc>
        <w:tc>
          <w:tcPr>
            <w:tcW w:w="1701" w:type="dxa"/>
            <w:tcBorders>
              <w:top w:val="nil"/>
              <w:left w:val="nil"/>
              <w:bottom w:val="single" w:sz="8" w:space="0" w:color="auto"/>
              <w:right w:val="single" w:sz="8" w:space="0" w:color="auto"/>
            </w:tcBorders>
            <w:vAlign w:val="center"/>
            <w:hideMark/>
          </w:tcPr>
          <w:p w14:paraId="6713756E" w14:textId="35CE714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15,543,089</w:t>
            </w:r>
          </w:p>
        </w:tc>
        <w:tc>
          <w:tcPr>
            <w:tcW w:w="1701" w:type="dxa"/>
            <w:tcBorders>
              <w:top w:val="nil"/>
              <w:left w:val="nil"/>
              <w:bottom w:val="single" w:sz="8" w:space="0" w:color="auto"/>
              <w:right w:val="single" w:sz="8" w:space="0" w:color="auto"/>
            </w:tcBorders>
            <w:vAlign w:val="center"/>
            <w:hideMark/>
          </w:tcPr>
          <w:p w14:paraId="708CFA2A" w14:textId="7796F888"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33,198,530</w:t>
            </w:r>
          </w:p>
        </w:tc>
        <w:tc>
          <w:tcPr>
            <w:tcW w:w="1559" w:type="dxa"/>
            <w:tcBorders>
              <w:top w:val="nil"/>
              <w:left w:val="nil"/>
              <w:bottom w:val="single" w:sz="8" w:space="0" w:color="auto"/>
              <w:right w:val="single" w:sz="8" w:space="0" w:color="auto"/>
            </w:tcBorders>
            <w:vAlign w:val="center"/>
            <w:hideMark/>
          </w:tcPr>
          <w:p w14:paraId="6B660B1A" w14:textId="4C7670F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17,655,441</w:t>
            </w:r>
          </w:p>
        </w:tc>
      </w:tr>
      <w:tr w:rsidR="00651FA9" w:rsidRPr="00AE36F0" w14:paraId="35F74724"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4C6E3520" w14:textId="0FEC9668"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572</w:t>
            </w:r>
          </w:p>
        </w:tc>
        <w:tc>
          <w:tcPr>
            <w:tcW w:w="3544" w:type="dxa"/>
            <w:tcBorders>
              <w:top w:val="nil"/>
              <w:left w:val="nil"/>
              <w:bottom w:val="single" w:sz="8" w:space="0" w:color="auto"/>
              <w:right w:val="single" w:sz="8" w:space="0" w:color="auto"/>
            </w:tcBorders>
            <w:vAlign w:val="center"/>
            <w:hideMark/>
          </w:tcPr>
          <w:p w14:paraId="3AF8F0E1" w14:textId="3E95EAEC"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DIRECCIÓN GENERAL DEL HANGAR OFICIAL DEL GOBIERNO DEL ESTADO</w:t>
            </w:r>
          </w:p>
        </w:tc>
        <w:tc>
          <w:tcPr>
            <w:tcW w:w="1701" w:type="dxa"/>
            <w:tcBorders>
              <w:top w:val="nil"/>
              <w:left w:val="nil"/>
              <w:bottom w:val="single" w:sz="8" w:space="0" w:color="auto"/>
              <w:right w:val="single" w:sz="8" w:space="0" w:color="auto"/>
            </w:tcBorders>
            <w:vAlign w:val="center"/>
            <w:hideMark/>
          </w:tcPr>
          <w:p w14:paraId="7B3DC2EC" w14:textId="0AF168F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98,688,373</w:t>
            </w:r>
          </w:p>
        </w:tc>
        <w:tc>
          <w:tcPr>
            <w:tcW w:w="1701" w:type="dxa"/>
            <w:tcBorders>
              <w:top w:val="nil"/>
              <w:left w:val="nil"/>
              <w:bottom w:val="single" w:sz="8" w:space="0" w:color="auto"/>
              <w:right w:val="single" w:sz="8" w:space="0" w:color="auto"/>
            </w:tcBorders>
            <w:vAlign w:val="center"/>
            <w:hideMark/>
          </w:tcPr>
          <w:p w14:paraId="0B6BDA1D" w14:textId="40BBC9D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96,281,739</w:t>
            </w:r>
          </w:p>
        </w:tc>
        <w:tc>
          <w:tcPr>
            <w:tcW w:w="1559" w:type="dxa"/>
            <w:tcBorders>
              <w:top w:val="nil"/>
              <w:left w:val="nil"/>
              <w:bottom w:val="single" w:sz="8" w:space="0" w:color="auto"/>
              <w:right w:val="single" w:sz="8" w:space="0" w:color="auto"/>
            </w:tcBorders>
            <w:vAlign w:val="center"/>
            <w:hideMark/>
          </w:tcPr>
          <w:p w14:paraId="439B401C" w14:textId="7E63A52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-2,406,634</w:t>
            </w:r>
          </w:p>
        </w:tc>
      </w:tr>
      <w:tr w:rsidR="00651FA9" w:rsidRPr="00AE36F0" w14:paraId="00061A81" w14:textId="77777777" w:rsidTr="00B72A61">
        <w:trPr>
          <w:trHeight w:val="471"/>
        </w:trPr>
        <w:tc>
          <w:tcPr>
            <w:tcW w:w="841" w:type="dxa"/>
            <w:tcBorders>
              <w:top w:val="nil"/>
              <w:left w:val="single" w:sz="8" w:space="0" w:color="auto"/>
              <w:bottom w:val="single" w:sz="8" w:space="0" w:color="auto"/>
              <w:right w:val="single" w:sz="8" w:space="0" w:color="auto"/>
            </w:tcBorders>
            <w:vAlign w:val="center"/>
            <w:hideMark/>
          </w:tcPr>
          <w:p w14:paraId="6A71092A" w14:textId="4C524F23"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573</w:t>
            </w:r>
          </w:p>
        </w:tc>
        <w:tc>
          <w:tcPr>
            <w:tcW w:w="3544" w:type="dxa"/>
            <w:tcBorders>
              <w:top w:val="nil"/>
              <w:left w:val="nil"/>
              <w:bottom w:val="single" w:sz="8" w:space="0" w:color="auto"/>
              <w:right w:val="single" w:sz="8" w:space="0" w:color="auto"/>
            </w:tcBorders>
            <w:vAlign w:val="center"/>
            <w:hideMark/>
          </w:tcPr>
          <w:p w14:paraId="0D798F57" w14:textId="400D1138"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CENTRO DE CONCILIACIÓN LABORAL DEL ESTADO DE OAXACA</w:t>
            </w:r>
          </w:p>
        </w:tc>
        <w:tc>
          <w:tcPr>
            <w:tcW w:w="1701" w:type="dxa"/>
            <w:tcBorders>
              <w:top w:val="nil"/>
              <w:left w:val="nil"/>
              <w:bottom w:val="single" w:sz="8" w:space="0" w:color="auto"/>
              <w:right w:val="single" w:sz="8" w:space="0" w:color="auto"/>
            </w:tcBorders>
            <w:vAlign w:val="center"/>
            <w:hideMark/>
          </w:tcPr>
          <w:p w14:paraId="0B7CB27C" w14:textId="3633AE3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2,228,090</w:t>
            </w:r>
          </w:p>
        </w:tc>
        <w:tc>
          <w:tcPr>
            <w:tcW w:w="1701" w:type="dxa"/>
            <w:tcBorders>
              <w:top w:val="nil"/>
              <w:left w:val="nil"/>
              <w:bottom w:val="single" w:sz="8" w:space="0" w:color="auto"/>
              <w:right w:val="single" w:sz="8" w:space="0" w:color="auto"/>
            </w:tcBorders>
            <w:vAlign w:val="center"/>
            <w:hideMark/>
          </w:tcPr>
          <w:p w14:paraId="49D7E329" w14:textId="3FCA3E8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2,109,433</w:t>
            </w:r>
          </w:p>
        </w:tc>
        <w:tc>
          <w:tcPr>
            <w:tcW w:w="1559" w:type="dxa"/>
            <w:tcBorders>
              <w:top w:val="nil"/>
              <w:left w:val="nil"/>
              <w:bottom w:val="single" w:sz="8" w:space="0" w:color="auto"/>
              <w:right w:val="single" w:sz="8" w:space="0" w:color="auto"/>
            </w:tcBorders>
            <w:vAlign w:val="center"/>
            <w:hideMark/>
          </w:tcPr>
          <w:p w14:paraId="7A328ADC" w14:textId="7F9D33C3"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-118,657</w:t>
            </w:r>
          </w:p>
        </w:tc>
      </w:tr>
      <w:tr w:rsidR="00651FA9" w:rsidRPr="00AE36F0" w14:paraId="792FD49F"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5336EA7" w14:textId="0C79318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574</w:t>
            </w:r>
          </w:p>
        </w:tc>
        <w:tc>
          <w:tcPr>
            <w:tcW w:w="3544" w:type="dxa"/>
            <w:tcBorders>
              <w:top w:val="nil"/>
              <w:left w:val="nil"/>
              <w:bottom w:val="single" w:sz="8" w:space="0" w:color="auto"/>
              <w:right w:val="single" w:sz="8" w:space="0" w:color="auto"/>
            </w:tcBorders>
            <w:vAlign w:val="center"/>
            <w:hideMark/>
          </w:tcPr>
          <w:p w14:paraId="2128C175" w14:textId="3E130770"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PROCURADURÍA DE PROTECCIÓN AL AMBIENTE DEL ESTADO DE OAXACA</w:t>
            </w:r>
          </w:p>
        </w:tc>
        <w:tc>
          <w:tcPr>
            <w:tcW w:w="1701" w:type="dxa"/>
            <w:tcBorders>
              <w:top w:val="nil"/>
              <w:left w:val="nil"/>
              <w:bottom w:val="single" w:sz="8" w:space="0" w:color="auto"/>
              <w:right w:val="single" w:sz="8" w:space="0" w:color="auto"/>
            </w:tcBorders>
            <w:vAlign w:val="center"/>
            <w:hideMark/>
          </w:tcPr>
          <w:p w14:paraId="33925CE5" w14:textId="5E68361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1,677,238</w:t>
            </w:r>
          </w:p>
        </w:tc>
        <w:tc>
          <w:tcPr>
            <w:tcW w:w="1701" w:type="dxa"/>
            <w:tcBorders>
              <w:top w:val="nil"/>
              <w:left w:val="nil"/>
              <w:bottom w:val="single" w:sz="8" w:space="0" w:color="auto"/>
              <w:right w:val="single" w:sz="8" w:space="0" w:color="auto"/>
            </w:tcBorders>
            <w:vAlign w:val="center"/>
            <w:hideMark/>
          </w:tcPr>
          <w:p w14:paraId="11029815" w14:textId="126E5FA5"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1,348,889</w:t>
            </w:r>
          </w:p>
        </w:tc>
        <w:tc>
          <w:tcPr>
            <w:tcW w:w="1559" w:type="dxa"/>
            <w:tcBorders>
              <w:top w:val="nil"/>
              <w:left w:val="nil"/>
              <w:bottom w:val="single" w:sz="8" w:space="0" w:color="auto"/>
              <w:right w:val="single" w:sz="8" w:space="0" w:color="auto"/>
            </w:tcBorders>
            <w:vAlign w:val="center"/>
            <w:hideMark/>
          </w:tcPr>
          <w:p w14:paraId="2B911DC5" w14:textId="5E162ED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-328,349</w:t>
            </w:r>
          </w:p>
        </w:tc>
      </w:tr>
      <w:tr w:rsidR="00651FA9" w:rsidRPr="00AE36F0" w14:paraId="2C38C05D" w14:textId="77777777" w:rsidTr="00B72A61">
        <w:trPr>
          <w:trHeight w:val="446"/>
        </w:trPr>
        <w:tc>
          <w:tcPr>
            <w:tcW w:w="841" w:type="dxa"/>
            <w:tcBorders>
              <w:top w:val="nil"/>
              <w:left w:val="single" w:sz="8" w:space="0" w:color="auto"/>
              <w:bottom w:val="single" w:sz="8" w:space="0" w:color="auto"/>
              <w:right w:val="single" w:sz="8" w:space="0" w:color="auto"/>
            </w:tcBorders>
            <w:vAlign w:val="center"/>
            <w:hideMark/>
          </w:tcPr>
          <w:p w14:paraId="3AFCD199" w14:textId="64B49115"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575</w:t>
            </w:r>
          </w:p>
        </w:tc>
        <w:tc>
          <w:tcPr>
            <w:tcW w:w="3544" w:type="dxa"/>
            <w:tcBorders>
              <w:top w:val="nil"/>
              <w:left w:val="nil"/>
              <w:bottom w:val="single" w:sz="8" w:space="0" w:color="auto"/>
              <w:right w:val="single" w:sz="8" w:space="0" w:color="auto"/>
            </w:tcBorders>
            <w:vAlign w:val="center"/>
            <w:hideMark/>
          </w:tcPr>
          <w:p w14:paraId="10019B8C" w14:textId="5F8A0A0A"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COMISIÓN EJECUTIVA ESTATAL DE ATENCIÓN INTEGRAL A VÍCTIMAS</w:t>
            </w:r>
          </w:p>
        </w:tc>
        <w:tc>
          <w:tcPr>
            <w:tcW w:w="1701" w:type="dxa"/>
            <w:tcBorders>
              <w:top w:val="nil"/>
              <w:left w:val="nil"/>
              <w:bottom w:val="single" w:sz="8" w:space="0" w:color="auto"/>
              <w:right w:val="single" w:sz="8" w:space="0" w:color="auto"/>
            </w:tcBorders>
            <w:vAlign w:val="center"/>
            <w:hideMark/>
          </w:tcPr>
          <w:p w14:paraId="28B90FD8" w14:textId="76F278B9"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3,184,120</w:t>
            </w:r>
          </w:p>
        </w:tc>
        <w:tc>
          <w:tcPr>
            <w:tcW w:w="1701" w:type="dxa"/>
            <w:tcBorders>
              <w:top w:val="nil"/>
              <w:left w:val="nil"/>
              <w:bottom w:val="single" w:sz="8" w:space="0" w:color="auto"/>
              <w:right w:val="single" w:sz="8" w:space="0" w:color="auto"/>
            </w:tcBorders>
            <w:vAlign w:val="center"/>
            <w:hideMark/>
          </w:tcPr>
          <w:p w14:paraId="5EA19DF8" w14:textId="74642EB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4,178,071</w:t>
            </w:r>
          </w:p>
        </w:tc>
        <w:tc>
          <w:tcPr>
            <w:tcW w:w="1559" w:type="dxa"/>
            <w:tcBorders>
              <w:top w:val="nil"/>
              <w:left w:val="nil"/>
              <w:bottom w:val="single" w:sz="8" w:space="0" w:color="auto"/>
              <w:right w:val="single" w:sz="8" w:space="0" w:color="auto"/>
            </w:tcBorders>
            <w:vAlign w:val="center"/>
            <w:hideMark/>
          </w:tcPr>
          <w:p w14:paraId="79361E63" w14:textId="3AE5B79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993,951</w:t>
            </w:r>
          </w:p>
        </w:tc>
      </w:tr>
      <w:tr w:rsidR="00651FA9" w:rsidRPr="00AE36F0" w14:paraId="5187A400" w14:textId="77777777" w:rsidTr="00B72A61">
        <w:trPr>
          <w:trHeight w:val="396"/>
        </w:trPr>
        <w:tc>
          <w:tcPr>
            <w:tcW w:w="841" w:type="dxa"/>
            <w:tcBorders>
              <w:top w:val="nil"/>
              <w:left w:val="single" w:sz="8" w:space="0" w:color="auto"/>
              <w:bottom w:val="single" w:sz="8" w:space="0" w:color="auto"/>
              <w:right w:val="single" w:sz="8" w:space="0" w:color="auto"/>
            </w:tcBorders>
            <w:vAlign w:val="center"/>
            <w:hideMark/>
          </w:tcPr>
          <w:p w14:paraId="18388821" w14:textId="2BF1D7C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576</w:t>
            </w:r>
          </w:p>
        </w:tc>
        <w:tc>
          <w:tcPr>
            <w:tcW w:w="3544" w:type="dxa"/>
            <w:tcBorders>
              <w:top w:val="nil"/>
              <w:left w:val="nil"/>
              <w:bottom w:val="single" w:sz="8" w:space="0" w:color="auto"/>
              <w:right w:val="single" w:sz="8" w:space="0" w:color="auto"/>
            </w:tcBorders>
            <w:vAlign w:val="center"/>
            <w:hideMark/>
          </w:tcPr>
          <w:p w14:paraId="4BCB1362" w14:textId="519280F2"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ARCHIVO GENERAL DEL ESTADO DE OAXACA</w:t>
            </w:r>
          </w:p>
        </w:tc>
        <w:tc>
          <w:tcPr>
            <w:tcW w:w="1701" w:type="dxa"/>
            <w:tcBorders>
              <w:top w:val="nil"/>
              <w:left w:val="nil"/>
              <w:bottom w:val="single" w:sz="8" w:space="0" w:color="auto"/>
              <w:right w:val="single" w:sz="8" w:space="0" w:color="auto"/>
            </w:tcBorders>
            <w:vAlign w:val="center"/>
            <w:hideMark/>
          </w:tcPr>
          <w:p w14:paraId="48B375AF" w14:textId="7ACA474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1,206,678</w:t>
            </w:r>
          </w:p>
        </w:tc>
        <w:tc>
          <w:tcPr>
            <w:tcW w:w="1701" w:type="dxa"/>
            <w:tcBorders>
              <w:top w:val="nil"/>
              <w:left w:val="nil"/>
              <w:bottom w:val="single" w:sz="8" w:space="0" w:color="auto"/>
              <w:right w:val="single" w:sz="8" w:space="0" w:color="auto"/>
            </w:tcBorders>
            <w:vAlign w:val="center"/>
            <w:hideMark/>
          </w:tcPr>
          <w:p w14:paraId="27B6A7AC" w14:textId="4C63976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1,707,220</w:t>
            </w:r>
          </w:p>
        </w:tc>
        <w:tc>
          <w:tcPr>
            <w:tcW w:w="1559" w:type="dxa"/>
            <w:tcBorders>
              <w:top w:val="nil"/>
              <w:left w:val="nil"/>
              <w:bottom w:val="single" w:sz="8" w:space="0" w:color="auto"/>
              <w:right w:val="single" w:sz="8" w:space="0" w:color="auto"/>
            </w:tcBorders>
            <w:vAlign w:val="center"/>
            <w:hideMark/>
          </w:tcPr>
          <w:p w14:paraId="254B36F2" w14:textId="2870BB5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500,542</w:t>
            </w:r>
          </w:p>
        </w:tc>
      </w:tr>
      <w:tr w:rsidR="00651FA9" w:rsidRPr="00AE36F0" w14:paraId="4BBC4C8A" w14:textId="77777777" w:rsidTr="00212663">
        <w:trPr>
          <w:trHeight w:val="501"/>
        </w:trPr>
        <w:tc>
          <w:tcPr>
            <w:tcW w:w="841" w:type="dxa"/>
            <w:tcBorders>
              <w:top w:val="nil"/>
              <w:left w:val="single" w:sz="8" w:space="0" w:color="auto"/>
              <w:bottom w:val="single" w:sz="8" w:space="0" w:color="auto"/>
              <w:right w:val="single" w:sz="8" w:space="0" w:color="auto"/>
            </w:tcBorders>
            <w:vAlign w:val="center"/>
          </w:tcPr>
          <w:p w14:paraId="623A162F" w14:textId="17685BAF" w:rsidR="00651FA9" w:rsidRPr="00AE36F0" w:rsidRDefault="00651FA9" w:rsidP="00651FA9">
            <w:pPr>
              <w:jc w:val="center"/>
              <w:rPr>
                <w:rFonts w:ascii="Montserrat" w:hAnsi="Montserrat" w:cs="Calibri"/>
                <w:color w:val="000000"/>
                <w:sz w:val="20"/>
                <w:szCs w:val="20"/>
              </w:rPr>
            </w:pPr>
            <w:r w:rsidRPr="00AE36F0">
              <w:rPr>
                <w:rFonts w:ascii="Montserrat" w:hAnsi="Montserrat" w:cs="Calibri"/>
                <w:color w:val="000000"/>
                <w:sz w:val="20"/>
                <w:szCs w:val="20"/>
              </w:rPr>
              <w:lastRenderedPageBreak/>
              <w:t>577</w:t>
            </w:r>
          </w:p>
        </w:tc>
        <w:tc>
          <w:tcPr>
            <w:tcW w:w="3544" w:type="dxa"/>
            <w:tcBorders>
              <w:top w:val="nil"/>
              <w:left w:val="nil"/>
              <w:bottom w:val="single" w:sz="8" w:space="0" w:color="auto"/>
              <w:right w:val="single" w:sz="8" w:space="0" w:color="auto"/>
            </w:tcBorders>
            <w:vAlign w:val="bottom"/>
          </w:tcPr>
          <w:p w14:paraId="6971EB9A" w14:textId="078AFB74" w:rsidR="00651FA9" w:rsidRPr="00AE36F0" w:rsidRDefault="00651FA9" w:rsidP="00651FA9">
            <w:pPr>
              <w:rPr>
                <w:rFonts w:ascii="Montserrat" w:hAnsi="Montserrat" w:cs="Calibri"/>
                <w:color w:val="000000"/>
                <w:sz w:val="20"/>
                <w:szCs w:val="20"/>
              </w:rPr>
            </w:pPr>
            <w:r w:rsidRPr="00AE36F0">
              <w:rPr>
                <w:rFonts w:ascii="Montserrat" w:hAnsi="Montserrat" w:cs="Calibri"/>
                <w:color w:val="000000"/>
                <w:sz w:val="20"/>
                <w:szCs w:val="20"/>
              </w:rPr>
              <w:t>COORDINACIÓN GENERAL DE ENLACE ESTATAL DEL CORREDOR INTEROCEÁNICO DEL ISTMO DE TEHUANTEPEC</w:t>
            </w:r>
          </w:p>
        </w:tc>
        <w:tc>
          <w:tcPr>
            <w:tcW w:w="1701" w:type="dxa"/>
            <w:tcBorders>
              <w:top w:val="nil"/>
              <w:left w:val="nil"/>
              <w:bottom w:val="single" w:sz="8" w:space="0" w:color="auto"/>
              <w:right w:val="single" w:sz="8" w:space="0" w:color="auto"/>
            </w:tcBorders>
            <w:vAlign w:val="center"/>
          </w:tcPr>
          <w:p w14:paraId="52686DAD" w14:textId="79DD528D" w:rsidR="00651FA9" w:rsidRPr="00AE36F0" w:rsidRDefault="00651FA9" w:rsidP="00651FA9">
            <w:pPr>
              <w:jc w:val="right"/>
              <w:rPr>
                <w:rFonts w:ascii="Montserrat" w:hAnsi="Montserrat" w:cs="Calibri"/>
                <w:color w:val="000000"/>
                <w:sz w:val="20"/>
                <w:szCs w:val="20"/>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tcPr>
          <w:p w14:paraId="0B4473EC" w14:textId="3AB4DB04" w:rsidR="00651FA9" w:rsidRPr="00AE36F0" w:rsidRDefault="00651FA9" w:rsidP="00651FA9">
            <w:pPr>
              <w:jc w:val="right"/>
              <w:rPr>
                <w:rFonts w:ascii="Montserrat" w:hAnsi="Montserrat" w:cs="Calibri"/>
                <w:color w:val="000000"/>
                <w:sz w:val="20"/>
                <w:szCs w:val="20"/>
              </w:rPr>
            </w:pPr>
            <w:r w:rsidRPr="00AE36F0">
              <w:rPr>
                <w:rFonts w:ascii="Montserrat" w:hAnsi="Montserrat" w:cs="Calibri"/>
                <w:color w:val="000000"/>
                <w:sz w:val="20"/>
                <w:szCs w:val="20"/>
              </w:rPr>
              <w:t>0</w:t>
            </w:r>
          </w:p>
        </w:tc>
        <w:tc>
          <w:tcPr>
            <w:tcW w:w="1559" w:type="dxa"/>
            <w:tcBorders>
              <w:top w:val="nil"/>
              <w:left w:val="nil"/>
              <w:bottom w:val="single" w:sz="8" w:space="0" w:color="auto"/>
              <w:right w:val="single" w:sz="8" w:space="0" w:color="auto"/>
            </w:tcBorders>
            <w:vAlign w:val="center"/>
          </w:tcPr>
          <w:p w14:paraId="5C1FD1B1" w14:textId="47430297" w:rsidR="00651FA9" w:rsidRPr="00AE36F0" w:rsidRDefault="00651FA9" w:rsidP="00651FA9">
            <w:pPr>
              <w:jc w:val="right"/>
              <w:rPr>
                <w:rFonts w:ascii="Montserrat" w:hAnsi="Montserrat" w:cs="Calibri"/>
                <w:color w:val="000000"/>
                <w:sz w:val="20"/>
                <w:szCs w:val="20"/>
              </w:rPr>
            </w:pPr>
            <w:r w:rsidRPr="00AE36F0">
              <w:rPr>
                <w:rFonts w:ascii="Montserrat" w:hAnsi="Montserrat" w:cs="Calibri"/>
                <w:color w:val="000000"/>
                <w:sz w:val="20"/>
                <w:szCs w:val="20"/>
              </w:rPr>
              <w:t>0</w:t>
            </w:r>
          </w:p>
        </w:tc>
      </w:tr>
      <w:tr w:rsidR="00651FA9" w:rsidRPr="00AE36F0" w14:paraId="4E5A7C69" w14:textId="77777777" w:rsidTr="00212663">
        <w:trPr>
          <w:trHeight w:val="501"/>
        </w:trPr>
        <w:tc>
          <w:tcPr>
            <w:tcW w:w="841" w:type="dxa"/>
            <w:tcBorders>
              <w:top w:val="nil"/>
              <w:left w:val="single" w:sz="8" w:space="0" w:color="auto"/>
              <w:bottom w:val="single" w:sz="8" w:space="0" w:color="auto"/>
              <w:right w:val="single" w:sz="8" w:space="0" w:color="auto"/>
            </w:tcBorders>
            <w:vAlign w:val="center"/>
          </w:tcPr>
          <w:p w14:paraId="28035D4A" w14:textId="5AF756BA"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578</w:t>
            </w:r>
          </w:p>
        </w:tc>
        <w:tc>
          <w:tcPr>
            <w:tcW w:w="3544" w:type="dxa"/>
            <w:tcBorders>
              <w:top w:val="nil"/>
              <w:left w:val="nil"/>
              <w:bottom w:val="single" w:sz="8" w:space="0" w:color="auto"/>
              <w:right w:val="single" w:sz="8" w:space="0" w:color="auto"/>
            </w:tcBorders>
            <w:vAlign w:val="bottom"/>
          </w:tcPr>
          <w:p w14:paraId="241E96BB" w14:textId="362ADC04"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UNIDAD DE INTELIGENCIA PATRIMONIAL Y ECONÓMICA DEL ESTADO DE OAXACA</w:t>
            </w:r>
          </w:p>
        </w:tc>
        <w:tc>
          <w:tcPr>
            <w:tcW w:w="1701" w:type="dxa"/>
            <w:tcBorders>
              <w:top w:val="nil"/>
              <w:left w:val="nil"/>
              <w:bottom w:val="single" w:sz="8" w:space="0" w:color="auto"/>
              <w:right w:val="single" w:sz="8" w:space="0" w:color="auto"/>
            </w:tcBorders>
            <w:vAlign w:val="center"/>
          </w:tcPr>
          <w:p w14:paraId="44895C46" w14:textId="3A681CBA"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181,676</w:t>
            </w:r>
          </w:p>
        </w:tc>
        <w:tc>
          <w:tcPr>
            <w:tcW w:w="1701" w:type="dxa"/>
            <w:tcBorders>
              <w:top w:val="nil"/>
              <w:left w:val="nil"/>
              <w:bottom w:val="single" w:sz="8" w:space="0" w:color="auto"/>
              <w:right w:val="single" w:sz="8" w:space="0" w:color="auto"/>
            </w:tcBorders>
            <w:vAlign w:val="center"/>
          </w:tcPr>
          <w:p w14:paraId="64A5C930" w14:textId="1E29FCF4"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297,128</w:t>
            </w:r>
          </w:p>
        </w:tc>
        <w:tc>
          <w:tcPr>
            <w:tcW w:w="1559" w:type="dxa"/>
            <w:tcBorders>
              <w:top w:val="nil"/>
              <w:left w:val="nil"/>
              <w:bottom w:val="single" w:sz="8" w:space="0" w:color="auto"/>
              <w:right w:val="single" w:sz="8" w:space="0" w:color="auto"/>
            </w:tcBorders>
            <w:vAlign w:val="center"/>
          </w:tcPr>
          <w:p w14:paraId="47241585" w14:textId="7E2BBF67"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115,452</w:t>
            </w:r>
          </w:p>
        </w:tc>
      </w:tr>
      <w:tr w:rsidR="00651FA9" w:rsidRPr="00AE36F0" w14:paraId="59343D21" w14:textId="77777777" w:rsidTr="00B72A61">
        <w:trPr>
          <w:trHeight w:val="693"/>
        </w:trPr>
        <w:tc>
          <w:tcPr>
            <w:tcW w:w="841" w:type="dxa"/>
            <w:tcBorders>
              <w:top w:val="nil"/>
              <w:left w:val="single" w:sz="8" w:space="0" w:color="auto"/>
              <w:bottom w:val="single" w:sz="8" w:space="0" w:color="auto"/>
              <w:right w:val="single" w:sz="8" w:space="0" w:color="auto"/>
            </w:tcBorders>
            <w:vAlign w:val="center"/>
            <w:hideMark/>
          </w:tcPr>
          <w:p w14:paraId="5BAB75C8" w14:textId="0A6E8E2A"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579</w:t>
            </w:r>
          </w:p>
        </w:tc>
        <w:tc>
          <w:tcPr>
            <w:tcW w:w="3544" w:type="dxa"/>
            <w:tcBorders>
              <w:top w:val="nil"/>
              <w:left w:val="nil"/>
              <w:bottom w:val="single" w:sz="8" w:space="0" w:color="auto"/>
              <w:right w:val="single" w:sz="8" w:space="0" w:color="auto"/>
            </w:tcBorders>
            <w:vAlign w:val="center"/>
            <w:hideMark/>
          </w:tcPr>
          <w:p w14:paraId="5BD25511" w14:textId="0563B698"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UNIVERSIDAD POLITÉCNICA Y TECNOLÓGICA DEL ISTMO DE TEHUANTEPEC</w:t>
            </w:r>
          </w:p>
        </w:tc>
        <w:tc>
          <w:tcPr>
            <w:tcW w:w="1701" w:type="dxa"/>
            <w:tcBorders>
              <w:top w:val="nil"/>
              <w:left w:val="nil"/>
              <w:bottom w:val="single" w:sz="8" w:space="0" w:color="auto"/>
              <w:right w:val="single" w:sz="8" w:space="0" w:color="auto"/>
            </w:tcBorders>
            <w:vAlign w:val="center"/>
            <w:hideMark/>
          </w:tcPr>
          <w:p w14:paraId="2F165E18" w14:textId="5B22951D"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2,998,542</w:t>
            </w:r>
          </w:p>
        </w:tc>
        <w:tc>
          <w:tcPr>
            <w:tcW w:w="1701" w:type="dxa"/>
            <w:tcBorders>
              <w:top w:val="nil"/>
              <w:left w:val="nil"/>
              <w:bottom w:val="single" w:sz="8" w:space="0" w:color="auto"/>
              <w:right w:val="single" w:sz="8" w:space="0" w:color="auto"/>
            </w:tcBorders>
            <w:vAlign w:val="center"/>
            <w:hideMark/>
          </w:tcPr>
          <w:p w14:paraId="08248E4C" w14:textId="421EB6D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736,209</w:t>
            </w:r>
          </w:p>
        </w:tc>
        <w:tc>
          <w:tcPr>
            <w:tcW w:w="1559" w:type="dxa"/>
            <w:tcBorders>
              <w:top w:val="nil"/>
              <w:left w:val="nil"/>
              <w:bottom w:val="single" w:sz="8" w:space="0" w:color="auto"/>
              <w:right w:val="single" w:sz="8" w:space="0" w:color="auto"/>
            </w:tcBorders>
            <w:vAlign w:val="center"/>
            <w:hideMark/>
          </w:tcPr>
          <w:p w14:paraId="7D73A956" w14:textId="6BD5D60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-2,262,332</w:t>
            </w:r>
          </w:p>
        </w:tc>
      </w:tr>
      <w:tr w:rsidR="00651FA9" w:rsidRPr="00AE36F0" w14:paraId="3EC7640E" w14:textId="77777777" w:rsidTr="00B72A61">
        <w:trPr>
          <w:trHeight w:val="547"/>
        </w:trPr>
        <w:tc>
          <w:tcPr>
            <w:tcW w:w="841" w:type="dxa"/>
            <w:tcBorders>
              <w:top w:val="nil"/>
              <w:left w:val="single" w:sz="8" w:space="0" w:color="auto"/>
              <w:bottom w:val="single" w:sz="8" w:space="0" w:color="auto"/>
              <w:right w:val="single" w:sz="8" w:space="0" w:color="auto"/>
            </w:tcBorders>
            <w:vAlign w:val="center"/>
            <w:hideMark/>
          </w:tcPr>
          <w:p w14:paraId="441A029D" w14:textId="6468DE62"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580</w:t>
            </w:r>
          </w:p>
        </w:tc>
        <w:tc>
          <w:tcPr>
            <w:tcW w:w="3544" w:type="dxa"/>
            <w:tcBorders>
              <w:top w:val="nil"/>
              <w:left w:val="nil"/>
              <w:bottom w:val="single" w:sz="8" w:space="0" w:color="auto"/>
              <w:right w:val="single" w:sz="8" w:space="0" w:color="auto"/>
            </w:tcBorders>
            <w:vAlign w:val="center"/>
            <w:hideMark/>
          </w:tcPr>
          <w:p w14:paraId="34E322E4" w14:textId="7006E455"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AFROUNIVERSIDAD POLITÉCNICA INTERCULTURAL</w:t>
            </w:r>
          </w:p>
        </w:tc>
        <w:tc>
          <w:tcPr>
            <w:tcW w:w="1701" w:type="dxa"/>
            <w:tcBorders>
              <w:top w:val="nil"/>
              <w:left w:val="nil"/>
              <w:bottom w:val="single" w:sz="8" w:space="0" w:color="auto"/>
              <w:right w:val="single" w:sz="8" w:space="0" w:color="auto"/>
            </w:tcBorders>
            <w:vAlign w:val="center"/>
            <w:hideMark/>
          </w:tcPr>
          <w:p w14:paraId="08BE6736" w14:textId="68A2B8EF"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13,761</w:t>
            </w:r>
          </w:p>
        </w:tc>
        <w:tc>
          <w:tcPr>
            <w:tcW w:w="1701" w:type="dxa"/>
            <w:tcBorders>
              <w:top w:val="nil"/>
              <w:left w:val="nil"/>
              <w:bottom w:val="single" w:sz="8" w:space="0" w:color="auto"/>
              <w:right w:val="single" w:sz="8" w:space="0" w:color="auto"/>
            </w:tcBorders>
            <w:vAlign w:val="center"/>
            <w:hideMark/>
          </w:tcPr>
          <w:p w14:paraId="0B8A490E" w14:textId="4ABDF67C"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11,104,424</w:t>
            </w:r>
          </w:p>
        </w:tc>
        <w:tc>
          <w:tcPr>
            <w:tcW w:w="1559" w:type="dxa"/>
            <w:tcBorders>
              <w:top w:val="nil"/>
              <w:left w:val="nil"/>
              <w:bottom w:val="single" w:sz="8" w:space="0" w:color="auto"/>
              <w:right w:val="single" w:sz="8" w:space="0" w:color="auto"/>
            </w:tcBorders>
            <w:vAlign w:val="center"/>
            <w:hideMark/>
          </w:tcPr>
          <w:p w14:paraId="532147AC" w14:textId="17A9528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11,090,663</w:t>
            </w:r>
          </w:p>
        </w:tc>
      </w:tr>
      <w:tr w:rsidR="00651FA9" w:rsidRPr="00AE36F0" w14:paraId="563600BF" w14:textId="77777777" w:rsidTr="00B72A61">
        <w:trPr>
          <w:trHeight w:val="443"/>
        </w:trPr>
        <w:tc>
          <w:tcPr>
            <w:tcW w:w="841" w:type="dxa"/>
            <w:tcBorders>
              <w:top w:val="nil"/>
              <w:left w:val="single" w:sz="8" w:space="0" w:color="auto"/>
              <w:bottom w:val="single" w:sz="8" w:space="0" w:color="auto"/>
              <w:right w:val="single" w:sz="8" w:space="0" w:color="auto"/>
            </w:tcBorders>
            <w:vAlign w:val="center"/>
            <w:hideMark/>
          </w:tcPr>
          <w:p w14:paraId="02564D5F" w14:textId="1EB2834C"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582</w:t>
            </w:r>
          </w:p>
        </w:tc>
        <w:tc>
          <w:tcPr>
            <w:tcW w:w="3544" w:type="dxa"/>
            <w:tcBorders>
              <w:top w:val="nil"/>
              <w:left w:val="nil"/>
              <w:bottom w:val="single" w:sz="8" w:space="0" w:color="auto"/>
              <w:right w:val="single" w:sz="8" w:space="0" w:color="auto"/>
            </w:tcBorders>
            <w:vAlign w:val="center"/>
            <w:hideMark/>
          </w:tcPr>
          <w:p w14:paraId="43E2F8A6" w14:textId="2CB4DEA4"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COORDINACIÓN PARA LA COMERCIALIZACIÓN DE PRODUCTOS OAXAQUEÑOS</w:t>
            </w:r>
          </w:p>
        </w:tc>
        <w:tc>
          <w:tcPr>
            <w:tcW w:w="1701" w:type="dxa"/>
            <w:tcBorders>
              <w:top w:val="nil"/>
              <w:left w:val="nil"/>
              <w:bottom w:val="single" w:sz="8" w:space="0" w:color="auto"/>
              <w:right w:val="single" w:sz="8" w:space="0" w:color="auto"/>
            </w:tcBorders>
            <w:vAlign w:val="center"/>
            <w:hideMark/>
          </w:tcPr>
          <w:p w14:paraId="7569C88D" w14:textId="497B452A"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2,114,242</w:t>
            </w:r>
          </w:p>
        </w:tc>
        <w:tc>
          <w:tcPr>
            <w:tcW w:w="1701" w:type="dxa"/>
            <w:tcBorders>
              <w:top w:val="nil"/>
              <w:left w:val="nil"/>
              <w:bottom w:val="single" w:sz="8" w:space="0" w:color="auto"/>
              <w:right w:val="single" w:sz="8" w:space="0" w:color="auto"/>
            </w:tcBorders>
            <w:vAlign w:val="center"/>
            <w:hideMark/>
          </w:tcPr>
          <w:p w14:paraId="763FCEAB" w14:textId="77376F0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2,029,653</w:t>
            </w:r>
          </w:p>
        </w:tc>
        <w:tc>
          <w:tcPr>
            <w:tcW w:w="1559" w:type="dxa"/>
            <w:tcBorders>
              <w:top w:val="nil"/>
              <w:left w:val="nil"/>
              <w:bottom w:val="single" w:sz="8" w:space="0" w:color="auto"/>
              <w:right w:val="single" w:sz="8" w:space="0" w:color="auto"/>
            </w:tcBorders>
            <w:vAlign w:val="center"/>
            <w:hideMark/>
          </w:tcPr>
          <w:p w14:paraId="08E8634C" w14:textId="41F131C2"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-84,589</w:t>
            </w:r>
          </w:p>
        </w:tc>
      </w:tr>
      <w:tr w:rsidR="00651FA9" w:rsidRPr="00AE36F0" w14:paraId="4AD8FD1A" w14:textId="77777777" w:rsidTr="00B72A61">
        <w:trPr>
          <w:trHeight w:val="677"/>
        </w:trPr>
        <w:tc>
          <w:tcPr>
            <w:tcW w:w="841" w:type="dxa"/>
            <w:tcBorders>
              <w:top w:val="nil"/>
              <w:left w:val="single" w:sz="8" w:space="0" w:color="auto"/>
              <w:bottom w:val="single" w:sz="8" w:space="0" w:color="auto"/>
              <w:right w:val="single" w:sz="8" w:space="0" w:color="auto"/>
            </w:tcBorders>
            <w:vAlign w:val="center"/>
            <w:hideMark/>
          </w:tcPr>
          <w:p w14:paraId="70C78AAE" w14:textId="18E54A3B"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584</w:t>
            </w:r>
          </w:p>
        </w:tc>
        <w:tc>
          <w:tcPr>
            <w:tcW w:w="3544" w:type="dxa"/>
            <w:tcBorders>
              <w:top w:val="nil"/>
              <w:left w:val="nil"/>
              <w:bottom w:val="single" w:sz="8" w:space="0" w:color="auto"/>
              <w:right w:val="single" w:sz="8" w:space="0" w:color="auto"/>
            </w:tcBorders>
            <w:vAlign w:val="center"/>
            <w:hideMark/>
          </w:tcPr>
          <w:p w14:paraId="3220399C" w14:textId="2EB4D1FB"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DE LENGUAS ORIGINARIAS DE OAXACA</w:t>
            </w:r>
          </w:p>
        </w:tc>
        <w:tc>
          <w:tcPr>
            <w:tcW w:w="1701" w:type="dxa"/>
            <w:tcBorders>
              <w:top w:val="nil"/>
              <w:left w:val="nil"/>
              <w:bottom w:val="single" w:sz="8" w:space="0" w:color="auto"/>
              <w:right w:val="single" w:sz="8" w:space="0" w:color="auto"/>
            </w:tcBorders>
            <w:vAlign w:val="center"/>
            <w:hideMark/>
          </w:tcPr>
          <w:p w14:paraId="194EEE04" w14:textId="11BCBE1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hideMark/>
          </w:tcPr>
          <w:p w14:paraId="040DC8DA" w14:textId="5DC5B32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4,669,456</w:t>
            </w:r>
          </w:p>
        </w:tc>
        <w:tc>
          <w:tcPr>
            <w:tcW w:w="1559" w:type="dxa"/>
            <w:tcBorders>
              <w:top w:val="nil"/>
              <w:left w:val="nil"/>
              <w:bottom w:val="single" w:sz="8" w:space="0" w:color="auto"/>
              <w:right w:val="single" w:sz="8" w:space="0" w:color="auto"/>
            </w:tcBorders>
            <w:vAlign w:val="center"/>
            <w:hideMark/>
          </w:tcPr>
          <w:p w14:paraId="1FDF0BEB" w14:textId="34B61CC1"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4,669,456</w:t>
            </w:r>
          </w:p>
        </w:tc>
      </w:tr>
      <w:tr w:rsidR="00651FA9" w:rsidRPr="00AE36F0" w14:paraId="51CE0449" w14:textId="77777777" w:rsidTr="00B72A61">
        <w:trPr>
          <w:trHeight w:val="403"/>
        </w:trPr>
        <w:tc>
          <w:tcPr>
            <w:tcW w:w="841" w:type="dxa"/>
            <w:tcBorders>
              <w:top w:val="nil"/>
              <w:left w:val="single" w:sz="8" w:space="0" w:color="auto"/>
              <w:bottom w:val="single" w:sz="8" w:space="0" w:color="auto"/>
              <w:right w:val="single" w:sz="8" w:space="0" w:color="auto"/>
            </w:tcBorders>
            <w:vAlign w:val="center"/>
            <w:hideMark/>
          </w:tcPr>
          <w:p w14:paraId="0172BA45" w14:textId="623BFDBD"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585</w:t>
            </w:r>
          </w:p>
        </w:tc>
        <w:tc>
          <w:tcPr>
            <w:tcW w:w="3544" w:type="dxa"/>
            <w:tcBorders>
              <w:top w:val="nil"/>
              <w:left w:val="nil"/>
              <w:bottom w:val="single" w:sz="8" w:space="0" w:color="auto"/>
              <w:right w:val="single" w:sz="8" w:space="0" w:color="auto"/>
            </w:tcBorders>
            <w:vAlign w:val="center"/>
            <w:hideMark/>
          </w:tcPr>
          <w:p w14:paraId="2960AB28" w14:textId="46AD1C93"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INSTITUTO ESTATAL DE CREACIÓN LITERARIA Y PROMOCIÓN DE LA LECTURA</w:t>
            </w:r>
          </w:p>
        </w:tc>
        <w:tc>
          <w:tcPr>
            <w:tcW w:w="1701" w:type="dxa"/>
            <w:tcBorders>
              <w:top w:val="nil"/>
              <w:left w:val="nil"/>
              <w:bottom w:val="single" w:sz="8" w:space="0" w:color="auto"/>
              <w:right w:val="single" w:sz="8" w:space="0" w:color="auto"/>
            </w:tcBorders>
            <w:vAlign w:val="center"/>
            <w:hideMark/>
          </w:tcPr>
          <w:p w14:paraId="7C92D8F2" w14:textId="5160507B"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hideMark/>
          </w:tcPr>
          <w:p w14:paraId="2899C931" w14:textId="4DA2B2E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2,837,682</w:t>
            </w:r>
          </w:p>
        </w:tc>
        <w:tc>
          <w:tcPr>
            <w:tcW w:w="1559" w:type="dxa"/>
            <w:tcBorders>
              <w:top w:val="nil"/>
              <w:left w:val="nil"/>
              <w:bottom w:val="single" w:sz="8" w:space="0" w:color="auto"/>
              <w:right w:val="single" w:sz="8" w:space="0" w:color="auto"/>
            </w:tcBorders>
            <w:vAlign w:val="center"/>
            <w:hideMark/>
          </w:tcPr>
          <w:p w14:paraId="2EC8360B" w14:textId="60E4AA16"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2,837,682</w:t>
            </w:r>
          </w:p>
        </w:tc>
      </w:tr>
      <w:tr w:rsidR="00651FA9" w:rsidRPr="00AE36F0" w14:paraId="36BBDD7A"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67873883" w14:textId="13E681C6" w:rsidR="00651FA9" w:rsidRPr="00AE36F0" w:rsidRDefault="00651FA9" w:rsidP="00651FA9">
            <w:pPr>
              <w:jc w:val="center"/>
              <w:rPr>
                <w:rFonts w:ascii="Montserrat" w:eastAsia="Times New Roman" w:hAnsi="Montserrat" w:cs="Calibri"/>
                <w:color w:val="000000"/>
                <w:sz w:val="20"/>
                <w:szCs w:val="20"/>
                <w:lang w:val="es-MX"/>
              </w:rPr>
            </w:pPr>
            <w:r w:rsidRPr="00AE36F0">
              <w:rPr>
                <w:rFonts w:ascii="Montserrat" w:hAnsi="Montserrat" w:cs="Calibri"/>
                <w:color w:val="000000"/>
                <w:sz w:val="20"/>
                <w:szCs w:val="20"/>
              </w:rPr>
              <w:t>586</w:t>
            </w:r>
          </w:p>
        </w:tc>
        <w:tc>
          <w:tcPr>
            <w:tcW w:w="3544" w:type="dxa"/>
            <w:tcBorders>
              <w:top w:val="nil"/>
              <w:left w:val="nil"/>
              <w:bottom w:val="single" w:sz="8" w:space="0" w:color="auto"/>
              <w:right w:val="single" w:sz="8" w:space="0" w:color="auto"/>
            </w:tcBorders>
            <w:vAlign w:val="center"/>
            <w:hideMark/>
          </w:tcPr>
          <w:p w14:paraId="498FEB2E" w14:textId="50ECE6C7" w:rsidR="00651FA9" w:rsidRPr="00AE36F0" w:rsidRDefault="00651FA9" w:rsidP="00651FA9">
            <w:pPr>
              <w:rPr>
                <w:rFonts w:ascii="Montserrat" w:eastAsia="Times New Roman" w:hAnsi="Montserrat" w:cs="Calibri"/>
                <w:color w:val="000000"/>
                <w:sz w:val="20"/>
                <w:szCs w:val="20"/>
                <w:lang w:val="es-MX"/>
              </w:rPr>
            </w:pPr>
            <w:r w:rsidRPr="00AE36F0">
              <w:rPr>
                <w:rFonts w:ascii="Montserrat" w:hAnsi="Montserrat" w:cs="Calibri"/>
                <w:color w:val="000000"/>
                <w:sz w:val="20"/>
                <w:szCs w:val="20"/>
              </w:rPr>
              <w:t>DIRECCIÓN GENERAL DEL CENTRO INTEGRALMENTE PLANEADO HUATULCO</w:t>
            </w:r>
          </w:p>
        </w:tc>
        <w:tc>
          <w:tcPr>
            <w:tcW w:w="1701" w:type="dxa"/>
            <w:tcBorders>
              <w:top w:val="nil"/>
              <w:left w:val="nil"/>
              <w:bottom w:val="single" w:sz="8" w:space="0" w:color="auto"/>
              <w:right w:val="single" w:sz="8" w:space="0" w:color="auto"/>
            </w:tcBorders>
            <w:vAlign w:val="center"/>
            <w:hideMark/>
          </w:tcPr>
          <w:p w14:paraId="313E2BA3" w14:textId="5B8F5D80"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0</w:t>
            </w:r>
          </w:p>
        </w:tc>
        <w:tc>
          <w:tcPr>
            <w:tcW w:w="1701" w:type="dxa"/>
            <w:tcBorders>
              <w:top w:val="nil"/>
              <w:left w:val="nil"/>
              <w:bottom w:val="single" w:sz="8" w:space="0" w:color="auto"/>
              <w:right w:val="single" w:sz="8" w:space="0" w:color="auto"/>
            </w:tcBorders>
            <w:vAlign w:val="center"/>
            <w:hideMark/>
          </w:tcPr>
          <w:p w14:paraId="391CE395" w14:textId="58CEDE1E"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715,999</w:t>
            </w:r>
          </w:p>
        </w:tc>
        <w:tc>
          <w:tcPr>
            <w:tcW w:w="1559" w:type="dxa"/>
            <w:tcBorders>
              <w:top w:val="nil"/>
              <w:left w:val="nil"/>
              <w:bottom w:val="single" w:sz="8" w:space="0" w:color="auto"/>
              <w:right w:val="single" w:sz="8" w:space="0" w:color="auto"/>
            </w:tcBorders>
            <w:vAlign w:val="center"/>
            <w:hideMark/>
          </w:tcPr>
          <w:p w14:paraId="24539D07" w14:textId="19AA6C67" w:rsidR="00651FA9" w:rsidRPr="00AE36F0" w:rsidRDefault="00651FA9" w:rsidP="00651FA9">
            <w:pPr>
              <w:jc w:val="right"/>
              <w:rPr>
                <w:rFonts w:ascii="Montserrat" w:eastAsia="Times New Roman" w:hAnsi="Montserrat" w:cs="Calibri"/>
                <w:color w:val="000000"/>
                <w:sz w:val="20"/>
                <w:szCs w:val="20"/>
                <w:lang w:val="es-MX"/>
              </w:rPr>
            </w:pPr>
            <w:r w:rsidRPr="00AE36F0">
              <w:rPr>
                <w:rFonts w:ascii="Montserrat" w:hAnsi="Montserrat" w:cs="Calibri"/>
                <w:color w:val="000000"/>
                <w:sz w:val="20"/>
                <w:szCs w:val="20"/>
              </w:rPr>
              <w:t>715,999</w:t>
            </w:r>
          </w:p>
        </w:tc>
      </w:tr>
      <w:tr w:rsidR="00651FA9" w:rsidRPr="00AE36F0" w14:paraId="3789E9AE" w14:textId="77777777" w:rsidTr="00651FA9">
        <w:trPr>
          <w:trHeight w:val="615"/>
        </w:trPr>
        <w:tc>
          <w:tcPr>
            <w:tcW w:w="841" w:type="dxa"/>
            <w:tcBorders>
              <w:top w:val="nil"/>
              <w:left w:val="single" w:sz="8" w:space="0" w:color="auto"/>
              <w:bottom w:val="single" w:sz="4" w:space="0" w:color="auto"/>
              <w:right w:val="single" w:sz="8" w:space="0" w:color="auto"/>
            </w:tcBorders>
            <w:vAlign w:val="center"/>
          </w:tcPr>
          <w:p w14:paraId="2C1605F0" w14:textId="320EDA0C"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587</w:t>
            </w:r>
          </w:p>
        </w:tc>
        <w:tc>
          <w:tcPr>
            <w:tcW w:w="3544" w:type="dxa"/>
            <w:tcBorders>
              <w:top w:val="nil"/>
              <w:left w:val="nil"/>
              <w:bottom w:val="single" w:sz="4" w:space="0" w:color="auto"/>
              <w:right w:val="single" w:sz="8" w:space="0" w:color="auto"/>
            </w:tcBorders>
            <w:vAlign w:val="center"/>
          </w:tcPr>
          <w:p w14:paraId="63EEA3AC" w14:textId="073B677A"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AGENCIA DE TECNOLOGÍAS E INNOVACIÓN DIGITAL</w:t>
            </w:r>
          </w:p>
        </w:tc>
        <w:tc>
          <w:tcPr>
            <w:tcW w:w="1701" w:type="dxa"/>
            <w:tcBorders>
              <w:top w:val="nil"/>
              <w:left w:val="nil"/>
              <w:bottom w:val="single" w:sz="4" w:space="0" w:color="auto"/>
              <w:right w:val="single" w:sz="8" w:space="0" w:color="auto"/>
            </w:tcBorders>
            <w:vAlign w:val="center"/>
          </w:tcPr>
          <w:p w14:paraId="5509F55E" w14:textId="72B356E1"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0</w:t>
            </w:r>
          </w:p>
        </w:tc>
        <w:tc>
          <w:tcPr>
            <w:tcW w:w="1701" w:type="dxa"/>
            <w:tcBorders>
              <w:top w:val="nil"/>
              <w:left w:val="nil"/>
              <w:bottom w:val="single" w:sz="4" w:space="0" w:color="auto"/>
              <w:right w:val="single" w:sz="8" w:space="0" w:color="auto"/>
            </w:tcBorders>
            <w:vAlign w:val="center"/>
          </w:tcPr>
          <w:p w14:paraId="7A1708F6" w14:textId="0794C7D7"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47,421,701</w:t>
            </w:r>
          </w:p>
        </w:tc>
        <w:tc>
          <w:tcPr>
            <w:tcW w:w="1559" w:type="dxa"/>
            <w:tcBorders>
              <w:top w:val="nil"/>
              <w:left w:val="nil"/>
              <w:bottom w:val="single" w:sz="4" w:space="0" w:color="auto"/>
              <w:right w:val="single" w:sz="8" w:space="0" w:color="auto"/>
            </w:tcBorders>
            <w:vAlign w:val="center"/>
          </w:tcPr>
          <w:p w14:paraId="60BFC232" w14:textId="6776B64B"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47,421,701</w:t>
            </w:r>
          </w:p>
        </w:tc>
      </w:tr>
      <w:tr w:rsidR="00651FA9" w:rsidRPr="00AE36F0" w14:paraId="2EB425C1"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hideMark/>
          </w:tcPr>
          <w:p w14:paraId="25979DD3" w14:textId="32D2C763"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601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48E7760" w14:textId="0B9DD988"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FIDEICOMISO PARA EL DESARROLLO LOGÍSTICO DEL ESTADO DE OAXACA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8681E8" w14:textId="6EF04D87"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113,789,436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326790" w14:textId="5B47E871"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824,357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BBE7AF" w14:textId="3E4D7FE2"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-112,965,079</w:t>
            </w:r>
          </w:p>
        </w:tc>
      </w:tr>
      <w:tr w:rsidR="00651FA9" w:rsidRPr="00AE36F0" w14:paraId="3B9722B0"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tcPr>
          <w:p w14:paraId="76D2B680" w14:textId="3E2FD83E"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602</w:t>
            </w:r>
          </w:p>
        </w:tc>
        <w:tc>
          <w:tcPr>
            <w:tcW w:w="3544" w:type="dxa"/>
            <w:tcBorders>
              <w:top w:val="single" w:sz="4" w:space="0" w:color="auto"/>
              <w:left w:val="single" w:sz="4" w:space="0" w:color="auto"/>
              <w:bottom w:val="single" w:sz="4" w:space="0" w:color="auto"/>
              <w:right w:val="single" w:sz="4" w:space="0" w:color="auto"/>
            </w:tcBorders>
            <w:vAlign w:val="center"/>
          </w:tcPr>
          <w:p w14:paraId="0CB04CA1" w14:textId="4C87A5E1"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FIDEICOMISO DE FOMENTO PARA EL ESTADO DE OAXACA</w:t>
            </w:r>
          </w:p>
        </w:tc>
        <w:tc>
          <w:tcPr>
            <w:tcW w:w="1701" w:type="dxa"/>
            <w:tcBorders>
              <w:top w:val="single" w:sz="4" w:space="0" w:color="auto"/>
              <w:left w:val="single" w:sz="4" w:space="0" w:color="auto"/>
              <w:bottom w:val="single" w:sz="4" w:space="0" w:color="auto"/>
              <w:right w:val="single" w:sz="4" w:space="0" w:color="auto"/>
            </w:tcBorders>
            <w:vAlign w:val="center"/>
          </w:tcPr>
          <w:p w14:paraId="62788757" w14:textId="0AF37D09"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36,019</w:t>
            </w:r>
          </w:p>
        </w:tc>
        <w:tc>
          <w:tcPr>
            <w:tcW w:w="1701" w:type="dxa"/>
            <w:tcBorders>
              <w:top w:val="single" w:sz="4" w:space="0" w:color="auto"/>
              <w:left w:val="single" w:sz="4" w:space="0" w:color="auto"/>
              <w:bottom w:val="single" w:sz="4" w:space="0" w:color="auto"/>
              <w:right w:val="single" w:sz="4" w:space="0" w:color="auto"/>
            </w:tcBorders>
            <w:vAlign w:val="center"/>
          </w:tcPr>
          <w:p w14:paraId="44ED000D" w14:textId="3A108302"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1,018,753</w:t>
            </w:r>
          </w:p>
        </w:tc>
        <w:tc>
          <w:tcPr>
            <w:tcW w:w="1559" w:type="dxa"/>
            <w:tcBorders>
              <w:top w:val="single" w:sz="4" w:space="0" w:color="auto"/>
              <w:left w:val="single" w:sz="4" w:space="0" w:color="auto"/>
              <w:bottom w:val="single" w:sz="4" w:space="0" w:color="auto"/>
              <w:right w:val="single" w:sz="4" w:space="0" w:color="auto"/>
            </w:tcBorders>
            <w:vAlign w:val="center"/>
          </w:tcPr>
          <w:p w14:paraId="5327DEB2" w14:textId="267EBB2B"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982,734</w:t>
            </w:r>
          </w:p>
        </w:tc>
      </w:tr>
      <w:tr w:rsidR="00651FA9" w:rsidRPr="00AE36F0" w14:paraId="4125DC9C"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tcPr>
          <w:p w14:paraId="301A937A" w14:textId="66DF397C"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603</w:t>
            </w:r>
          </w:p>
        </w:tc>
        <w:tc>
          <w:tcPr>
            <w:tcW w:w="3544" w:type="dxa"/>
            <w:tcBorders>
              <w:top w:val="single" w:sz="4" w:space="0" w:color="auto"/>
              <w:left w:val="single" w:sz="4" w:space="0" w:color="auto"/>
              <w:bottom w:val="single" w:sz="4" w:space="0" w:color="auto"/>
              <w:right w:val="single" w:sz="4" w:space="0" w:color="auto"/>
            </w:tcBorders>
            <w:vAlign w:val="center"/>
          </w:tcPr>
          <w:p w14:paraId="06988B7C" w14:textId="1CAD3439"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OFICINA DE CONVENCIONES Y VISITANTES DE OAXACA 'OCVOAXACA' (EXTINTO) DECRETO 26-07-2023</w:t>
            </w:r>
          </w:p>
        </w:tc>
        <w:tc>
          <w:tcPr>
            <w:tcW w:w="1701" w:type="dxa"/>
            <w:tcBorders>
              <w:top w:val="single" w:sz="4" w:space="0" w:color="auto"/>
              <w:left w:val="single" w:sz="4" w:space="0" w:color="auto"/>
              <w:bottom w:val="single" w:sz="4" w:space="0" w:color="auto"/>
              <w:right w:val="single" w:sz="4" w:space="0" w:color="auto"/>
            </w:tcBorders>
            <w:vAlign w:val="center"/>
          </w:tcPr>
          <w:p w14:paraId="252BD78F" w14:textId="3BB930F2"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14:paraId="1DF955AE" w14:textId="4A977D45"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696,045</w:t>
            </w:r>
          </w:p>
        </w:tc>
        <w:tc>
          <w:tcPr>
            <w:tcW w:w="1559" w:type="dxa"/>
            <w:tcBorders>
              <w:top w:val="single" w:sz="4" w:space="0" w:color="auto"/>
              <w:left w:val="single" w:sz="4" w:space="0" w:color="auto"/>
              <w:bottom w:val="single" w:sz="4" w:space="0" w:color="auto"/>
              <w:right w:val="single" w:sz="4" w:space="0" w:color="auto"/>
            </w:tcBorders>
            <w:vAlign w:val="center"/>
          </w:tcPr>
          <w:p w14:paraId="0158A7B1" w14:textId="30AD933D"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696,045</w:t>
            </w:r>
          </w:p>
        </w:tc>
      </w:tr>
      <w:tr w:rsidR="00651FA9" w:rsidRPr="00AE36F0" w14:paraId="5015F64D" w14:textId="77777777" w:rsidTr="00651FA9">
        <w:trPr>
          <w:trHeight w:val="405"/>
        </w:trPr>
        <w:tc>
          <w:tcPr>
            <w:tcW w:w="841" w:type="dxa"/>
            <w:tcBorders>
              <w:top w:val="single" w:sz="4" w:space="0" w:color="auto"/>
              <w:left w:val="single" w:sz="4" w:space="0" w:color="auto"/>
              <w:bottom w:val="single" w:sz="4" w:space="0" w:color="auto"/>
              <w:right w:val="single" w:sz="4" w:space="0" w:color="auto"/>
            </w:tcBorders>
            <w:vAlign w:val="center"/>
          </w:tcPr>
          <w:p w14:paraId="648D2610" w14:textId="0DF65677" w:rsidR="00651FA9" w:rsidRPr="00AE36F0" w:rsidRDefault="00651FA9" w:rsidP="00651FA9">
            <w:pPr>
              <w:jc w:val="center"/>
              <w:rPr>
                <w:rFonts w:ascii="Montserrat" w:hAnsi="Montserrat"/>
                <w:sz w:val="20"/>
                <w:szCs w:val="20"/>
              </w:rPr>
            </w:pPr>
            <w:r w:rsidRPr="00AE36F0">
              <w:rPr>
                <w:rFonts w:ascii="Montserrat" w:hAnsi="Montserrat" w:cs="Calibri"/>
                <w:color w:val="000000"/>
                <w:sz w:val="20"/>
                <w:szCs w:val="20"/>
              </w:rPr>
              <w:t>801</w:t>
            </w:r>
          </w:p>
        </w:tc>
        <w:tc>
          <w:tcPr>
            <w:tcW w:w="3544" w:type="dxa"/>
            <w:tcBorders>
              <w:top w:val="single" w:sz="4" w:space="0" w:color="auto"/>
              <w:left w:val="single" w:sz="4" w:space="0" w:color="auto"/>
              <w:bottom w:val="single" w:sz="4" w:space="0" w:color="auto"/>
              <w:right w:val="single" w:sz="4" w:space="0" w:color="auto"/>
            </w:tcBorders>
            <w:vAlign w:val="center"/>
          </w:tcPr>
          <w:p w14:paraId="15FA0D81" w14:textId="3E5FDBC3" w:rsidR="00651FA9" w:rsidRPr="00AE36F0" w:rsidRDefault="00651FA9" w:rsidP="00651FA9">
            <w:pPr>
              <w:rPr>
                <w:rFonts w:ascii="Montserrat" w:hAnsi="Montserrat"/>
                <w:sz w:val="20"/>
                <w:szCs w:val="20"/>
              </w:rPr>
            </w:pPr>
            <w:r w:rsidRPr="00AE36F0">
              <w:rPr>
                <w:rFonts w:ascii="Montserrat" w:hAnsi="Montserrat" w:cs="Calibri"/>
                <w:color w:val="000000"/>
                <w:sz w:val="20"/>
                <w:szCs w:val="20"/>
              </w:rPr>
              <w:t>OFICINA DE PENSIONES DEL ESTADO DE OAXACA</w:t>
            </w:r>
          </w:p>
        </w:tc>
        <w:tc>
          <w:tcPr>
            <w:tcW w:w="1701" w:type="dxa"/>
            <w:tcBorders>
              <w:top w:val="single" w:sz="4" w:space="0" w:color="auto"/>
              <w:left w:val="single" w:sz="4" w:space="0" w:color="auto"/>
              <w:bottom w:val="single" w:sz="4" w:space="0" w:color="auto"/>
              <w:right w:val="single" w:sz="4" w:space="0" w:color="auto"/>
            </w:tcBorders>
            <w:vAlign w:val="center"/>
          </w:tcPr>
          <w:p w14:paraId="34E4D199" w14:textId="7E7E9B15"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129,845</w:t>
            </w:r>
          </w:p>
        </w:tc>
        <w:tc>
          <w:tcPr>
            <w:tcW w:w="1701" w:type="dxa"/>
            <w:tcBorders>
              <w:top w:val="single" w:sz="4" w:space="0" w:color="auto"/>
              <w:left w:val="single" w:sz="4" w:space="0" w:color="auto"/>
              <w:bottom w:val="single" w:sz="4" w:space="0" w:color="auto"/>
              <w:right w:val="single" w:sz="4" w:space="0" w:color="auto"/>
            </w:tcBorders>
            <w:vAlign w:val="center"/>
          </w:tcPr>
          <w:p w14:paraId="4949BC37" w14:textId="5A106D43"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788,692</w:t>
            </w:r>
          </w:p>
        </w:tc>
        <w:tc>
          <w:tcPr>
            <w:tcW w:w="1559" w:type="dxa"/>
            <w:tcBorders>
              <w:top w:val="single" w:sz="4" w:space="0" w:color="auto"/>
              <w:left w:val="single" w:sz="4" w:space="0" w:color="auto"/>
              <w:bottom w:val="single" w:sz="4" w:space="0" w:color="auto"/>
              <w:right w:val="single" w:sz="4" w:space="0" w:color="auto"/>
            </w:tcBorders>
            <w:vAlign w:val="center"/>
          </w:tcPr>
          <w:p w14:paraId="2CC65775" w14:textId="433C8E43" w:rsidR="00651FA9" w:rsidRPr="00AE36F0" w:rsidRDefault="00651FA9" w:rsidP="00651FA9">
            <w:pPr>
              <w:jc w:val="right"/>
              <w:rPr>
                <w:rFonts w:ascii="Montserrat" w:hAnsi="Montserrat"/>
                <w:sz w:val="20"/>
                <w:szCs w:val="20"/>
              </w:rPr>
            </w:pPr>
            <w:r w:rsidRPr="00AE36F0">
              <w:rPr>
                <w:rFonts w:ascii="Montserrat" w:hAnsi="Montserrat" w:cs="Calibri"/>
                <w:color w:val="000000"/>
                <w:sz w:val="20"/>
                <w:szCs w:val="20"/>
              </w:rPr>
              <w:t>658,847</w:t>
            </w:r>
          </w:p>
        </w:tc>
      </w:tr>
    </w:tbl>
    <w:p w14:paraId="75BB8E8F" w14:textId="77777777" w:rsidR="00E859AF" w:rsidRPr="00AE36F0" w:rsidRDefault="00E859AF" w:rsidP="00E859AF">
      <w:pPr>
        <w:keepNext/>
        <w:tabs>
          <w:tab w:val="left" w:pos="7260"/>
        </w:tabs>
        <w:jc w:val="both"/>
        <w:rPr>
          <w:rFonts w:ascii="Montserrat" w:hAnsi="Montserrat"/>
          <w:b/>
        </w:rPr>
      </w:pPr>
    </w:p>
    <w:p w14:paraId="6C184876" w14:textId="53E842CD" w:rsidR="00E859AF" w:rsidRPr="00AE36F0" w:rsidRDefault="00E859AF">
      <w:pPr>
        <w:rPr>
          <w:rFonts w:ascii="Montserrat" w:hAnsi="Montserrat"/>
          <w:b/>
        </w:rPr>
      </w:pPr>
    </w:p>
    <w:p w14:paraId="325CCD19" w14:textId="3758FE15" w:rsidR="00B0059B" w:rsidRPr="00AE36F0" w:rsidRDefault="00B0059B" w:rsidP="00E859AF">
      <w:pPr>
        <w:keepNext/>
        <w:tabs>
          <w:tab w:val="left" w:pos="7260"/>
        </w:tabs>
        <w:jc w:val="both"/>
        <w:rPr>
          <w:rFonts w:ascii="Montserrat" w:hAnsi="Montserrat"/>
          <w:b/>
        </w:rPr>
      </w:pPr>
      <w:r w:rsidRPr="00AE36F0">
        <w:rPr>
          <w:rFonts w:ascii="Montserrat" w:hAnsi="Montserrat"/>
          <w:b/>
        </w:rPr>
        <w:t>Fideicomisos, Mandatos y Análogos.</w:t>
      </w:r>
    </w:p>
    <w:p w14:paraId="2D3501E3" w14:textId="77777777" w:rsidR="00B0059B" w:rsidRPr="00AE36F0" w:rsidRDefault="00B0059B" w:rsidP="00B0059B">
      <w:pPr>
        <w:tabs>
          <w:tab w:val="left" w:pos="7260"/>
        </w:tabs>
        <w:jc w:val="both"/>
        <w:rPr>
          <w:rFonts w:ascii="Montserrat" w:hAnsi="Montserrat"/>
          <w:b/>
        </w:rPr>
      </w:pPr>
    </w:p>
    <w:p w14:paraId="65963814"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la fecha el Estado cuenta con 23 Fideicomisos, cuyo detalle se encuentra en el Tomo 1A:</w:t>
      </w:r>
    </w:p>
    <w:p w14:paraId="4EF25691" w14:textId="77777777" w:rsidR="00B0059B" w:rsidRPr="00AE36F0" w:rsidRDefault="00B0059B" w:rsidP="00B0059B">
      <w:pPr>
        <w:tabs>
          <w:tab w:val="left" w:pos="7260"/>
        </w:tabs>
        <w:jc w:val="both"/>
        <w:rPr>
          <w:rFonts w:ascii="Montserrat" w:eastAsia="Times New Roman" w:hAnsi="Montserrat" w:cs="Arial"/>
        </w:rPr>
      </w:pPr>
    </w:p>
    <w:tbl>
      <w:tblPr>
        <w:tblStyle w:val="Tablaconcuadrcula"/>
        <w:tblW w:w="8926" w:type="dxa"/>
        <w:tblLayout w:type="fixed"/>
        <w:tblLook w:val="04A0" w:firstRow="1" w:lastRow="0" w:firstColumn="1" w:lastColumn="0" w:noHBand="0" w:noVBand="1"/>
      </w:tblPr>
      <w:tblGrid>
        <w:gridCol w:w="579"/>
        <w:gridCol w:w="1339"/>
        <w:gridCol w:w="3039"/>
        <w:gridCol w:w="2268"/>
        <w:gridCol w:w="1701"/>
      </w:tblGrid>
      <w:tr w:rsidR="00FD2DE6" w:rsidRPr="00AE36F0" w14:paraId="1DA7613E" w14:textId="77777777" w:rsidTr="0078742A">
        <w:trPr>
          <w:trHeight w:val="660"/>
          <w:tblHeader/>
        </w:trPr>
        <w:tc>
          <w:tcPr>
            <w:tcW w:w="579" w:type="dxa"/>
            <w:shd w:val="clear" w:color="auto" w:fill="BFBFBF" w:themeFill="background1" w:themeFillShade="BF"/>
            <w:vAlign w:val="center"/>
            <w:hideMark/>
          </w:tcPr>
          <w:p w14:paraId="63321008" w14:textId="77777777" w:rsidR="007B5ADF" w:rsidRPr="00AE36F0" w:rsidRDefault="007B5ADF" w:rsidP="00703240">
            <w:pPr>
              <w:tabs>
                <w:tab w:val="left" w:pos="7260"/>
              </w:tabs>
              <w:jc w:val="center"/>
              <w:rPr>
                <w:rFonts w:ascii="Montserrat" w:hAnsi="Montserrat" w:cs="Calibri"/>
                <w:b/>
                <w:bCs/>
                <w:color w:val="000000"/>
                <w:sz w:val="16"/>
                <w:szCs w:val="16"/>
              </w:rPr>
            </w:pPr>
          </w:p>
          <w:p w14:paraId="763EDA93" w14:textId="3D32DC16"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No.</w:t>
            </w:r>
          </w:p>
        </w:tc>
        <w:tc>
          <w:tcPr>
            <w:tcW w:w="1339" w:type="dxa"/>
            <w:shd w:val="clear" w:color="auto" w:fill="BFBFBF" w:themeFill="background1" w:themeFillShade="BF"/>
            <w:vAlign w:val="center"/>
            <w:hideMark/>
          </w:tcPr>
          <w:p w14:paraId="64542B97" w14:textId="070C3712"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NÚM. FIDEICO</w:t>
            </w:r>
            <w:r w:rsidR="001D3D38" w:rsidRPr="00AE36F0">
              <w:rPr>
                <w:rFonts w:ascii="Montserrat" w:hAnsi="Montserrat" w:cs="Calibri"/>
                <w:b/>
                <w:bCs/>
                <w:color w:val="000000"/>
                <w:sz w:val="16"/>
                <w:szCs w:val="16"/>
              </w:rPr>
              <w:t>-</w:t>
            </w:r>
            <w:r w:rsidRPr="00AE36F0">
              <w:rPr>
                <w:rFonts w:ascii="Montserrat" w:hAnsi="Montserrat" w:cs="Calibri"/>
                <w:b/>
                <w:bCs/>
                <w:color w:val="000000"/>
                <w:sz w:val="16"/>
                <w:szCs w:val="16"/>
              </w:rPr>
              <w:t>MISO</w:t>
            </w:r>
          </w:p>
        </w:tc>
        <w:tc>
          <w:tcPr>
            <w:tcW w:w="3039" w:type="dxa"/>
            <w:shd w:val="clear" w:color="auto" w:fill="BFBFBF" w:themeFill="background1" w:themeFillShade="BF"/>
            <w:vAlign w:val="center"/>
            <w:hideMark/>
          </w:tcPr>
          <w:p w14:paraId="0C19392B" w14:textId="412C3506"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NOMBRE FIDEICOMISO</w:t>
            </w:r>
          </w:p>
        </w:tc>
        <w:tc>
          <w:tcPr>
            <w:tcW w:w="2268" w:type="dxa"/>
            <w:shd w:val="clear" w:color="auto" w:fill="BFBFBF" w:themeFill="background1" w:themeFillShade="BF"/>
            <w:vAlign w:val="center"/>
            <w:hideMark/>
          </w:tcPr>
          <w:p w14:paraId="3EB2DD05" w14:textId="50F32A8D"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TIPO</w:t>
            </w:r>
          </w:p>
        </w:tc>
        <w:tc>
          <w:tcPr>
            <w:tcW w:w="1701" w:type="dxa"/>
            <w:shd w:val="clear" w:color="auto" w:fill="BFBFBF" w:themeFill="background1" w:themeFillShade="BF"/>
            <w:vAlign w:val="center"/>
            <w:hideMark/>
          </w:tcPr>
          <w:p w14:paraId="6ED5DDB5" w14:textId="6E4F2CB2" w:rsidR="00A018AA" w:rsidRPr="00AE36F0" w:rsidRDefault="00A018AA" w:rsidP="00703240">
            <w:pPr>
              <w:tabs>
                <w:tab w:val="left" w:pos="7260"/>
              </w:tabs>
              <w:jc w:val="center"/>
              <w:rPr>
                <w:rFonts w:ascii="Montserrat" w:hAnsi="Montserrat" w:cs="Calibri"/>
                <w:b/>
                <w:bCs/>
                <w:color w:val="000000"/>
                <w:sz w:val="16"/>
                <w:szCs w:val="16"/>
              </w:rPr>
            </w:pPr>
            <w:r w:rsidRPr="00AE36F0">
              <w:rPr>
                <w:rFonts w:ascii="Montserrat" w:hAnsi="Montserrat" w:cs="Calibri"/>
                <w:b/>
                <w:bCs/>
                <w:color w:val="000000"/>
                <w:sz w:val="16"/>
                <w:szCs w:val="16"/>
              </w:rPr>
              <w:t>SALDO</w:t>
            </w:r>
          </w:p>
        </w:tc>
      </w:tr>
      <w:tr w:rsidR="00006419" w:rsidRPr="00AE36F0" w14:paraId="42A97227" w14:textId="77777777" w:rsidTr="00006419">
        <w:trPr>
          <w:trHeight w:val="465"/>
        </w:trPr>
        <w:tc>
          <w:tcPr>
            <w:tcW w:w="579" w:type="dxa"/>
            <w:noWrap/>
            <w:vAlign w:val="center"/>
            <w:hideMark/>
          </w:tcPr>
          <w:p w14:paraId="394A3DFF" w14:textId="4F6D7B4B"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w:t>
            </w:r>
          </w:p>
        </w:tc>
        <w:tc>
          <w:tcPr>
            <w:tcW w:w="1339" w:type="dxa"/>
            <w:noWrap/>
            <w:vAlign w:val="center"/>
            <w:hideMark/>
          </w:tcPr>
          <w:p w14:paraId="70393B7F" w14:textId="7DD4FFFC"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6259</w:t>
            </w:r>
          </w:p>
        </w:tc>
        <w:tc>
          <w:tcPr>
            <w:tcW w:w="3039" w:type="dxa"/>
            <w:vAlign w:val="center"/>
            <w:hideMark/>
          </w:tcPr>
          <w:p w14:paraId="5EAC6B80" w14:textId="5414199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"ALIANZA PARA EL CAMPO DE OAXACA" (</w:t>
            </w:r>
            <w:proofErr w:type="gramStart"/>
            <w:r w:rsidRPr="00AE36F0">
              <w:rPr>
                <w:rFonts w:ascii="Montserrat" w:hAnsi="Montserrat" w:cs="Arial"/>
                <w:color w:val="000000"/>
                <w:sz w:val="16"/>
                <w:szCs w:val="16"/>
              </w:rPr>
              <w:t xml:space="preserve">FAPCO)   </w:t>
            </w:r>
            <w:proofErr w:type="gramEnd"/>
            <w:r w:rsidRPr="00AE36F0">
              <w:rPr>
                <w:rFonts w:ascii="Montserrat" w:hAnsi="Montserrat" w:cs="Arial"/>
                <w:color w:val="000000"/>
                <w:sz w:val="16"/>
                <w:szCs w:val="16"/>
              </w:rPr>
              <w:t xml:space="preserve">   </w:t>
            </w:r>
          </w:p>
        </w:tc>
        <w:tc>
          <w:tcPr>
            <w:tcW w:w="2268" w:type="dxa"/>
            <w:vAlign w:val="center"/>
            <w:hideMark/>
          </w:tcPr>
          <w:p w14:paraId="17A4EACA" w14:textId="498C59C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INVERSIÓN Y ADMINISTRACIÓN </w:t>
            </w:r>
          </w:p>
        </w:tc>
        <w:tc>
          <w:tcPr>
            <w:tcW w:w="1701" w:type="dxa"/>
            <w:noWrap/>
            <w:vAlign w:val="center"/>
            <w:hideMark/>
          </w:tcPr>
          <w:p w14:paraId="2CD00054" w14:textId="1B76B538" w:rsidR="00006419" w:rsidRPr="00AE36F0" w:rsidRDefault="00006419" w:rsidP="00006419">
            <w:pPr>
              <w:jc w:val="right"/>
              <w:rPr>
                <w:rFonts w:ascii="Montserrat" w:hAnsi="Montserrat" w:cs="Arial"/>
                <w:color w:val="0D0D0D"/>
                <w:sz w:val="16"/>
                <w:szCs w:val="16"/>
              </w:rPr>
            </w:pPr>
            <w:r w:rsidRPr="00AE36F0">
              <w:rPr>
                <w:rFonts w:ascii="Montserrat" w:hAnsi="Montserrat" w:cs="Calibri"/>
                <w:color w:val="000000"/>
                <w:sz w:val="22"/>
                <w:szCs w:val="22"/>
              </w:rPr>
              <w:t xml:space="preserve">37,217,418 </w:t>
            </w:r>
          </w:p>
        </w:tc>
      </w:tr>
      <w:tr w:rsidR="00006419" w:rsidRPr="00AE36F0" w14:paraId="4A2E450B" w14:textId="77777777" w:rsidTr="00006419">
        <w:trPr>
          <w:trHeight w:val="465"/>
        </w:trPr>
        <w:tc>
          <w:tcPr>
            <w:tcW w:w="579" w:type="dxa"/>
            <w:noWrap/>
            <w:vAlign w:val="center"/>
            <w:hideMark/>
          </w:tcPr>
          <w:p w14:paraId="798D21A0" w14:textId="2A94B569"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w:t>
            </w:r>
          </w:p>
        </w:tc>
        <w:tc>
          <w:tcPr>
            <w:tcW w:w="1339" w:type="dxa"/>
            <w:noWrap/>
            <w:vAlign w:val="center"/>
            <w:hideMark/>
          </w:tcPr>
          <w:p w14:paraId="364FE0B3" w14:textId="1DBC0326"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360293021</w:t>
            </w:r>
          </w:p>
        </w:tc>
        <w:tc>
          <w:tcPr>
            <w:tcW w:w="3039" w:type="dxa"/>
            <w:vAlign w:val="center"/>
            <w:hideMark/>
          </w:tcPr>
          <w:p w14:paraId="316C0A52" w14:textId="0FA8072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"MENORES DE SANTIAGO XOCHILTEPEC"</w:t>
            </w:r>
          </w:p>
        </w:tc>
        <w:tc>
          <w:tcPr>
            <w:tcW w:w="2268" w:type="dxa"/>
            <w:vAlign w:val="center"/>
            <w:hideMark/>
          </w:tcPr>
          <w:p w14:paraId="18D4B6B8" w14:textId="73327A0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E INVERSIÓN </w:t>
            </w:r>
          </w:p>
        </w:tc>
        <w:tc>
          <w:tcPr>
            <w:tcW w:w="1701" w:type="dxa"/>
            <w:noWrap/>
            <w:vAlign w:val="center"/>
            <w:hideMark/>
          </w:tcPr>
          <w:p w14:paraId="33727CE6" w14:textId="551FBEE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535,990 </w:t>
            </w:r>
          </w:p>
        </w:tc>
      </w:tr>
      <w:tr w:rsidR="00006419" w:rsidRPr="00AE36F0" w14:paraId="44A3AECD" w14:textId="77777777" w:rsidTr="00006419">
        <w:trPr>
          <w:trHeight w:val="690"/>
        </w:trPr>
        <w:tc>
          <w:tcPr>
            <w:tcW w:w="579" w:type="dxa"/>
            <w:noWrap/>
            <w:vAlign w:val="center"/>
            <w:hideMark/>
          </w:tcPr>
          <w:p w14:paraId="6C1B8764" w14:textId="4EE401EB"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3</w:t>
            </w:r>
          </w:p>
        </w:tc>
        <w:tc>
          <w:tcPr>
            <w:tcW w:w="1339" w:type="dxa"/>
            <w:noWrap/>
            <w:vAlign w:val="center"/>
            <w:hideMark/>
          </w:tcPr>
          <w:p w14:paraId="772603B5" w14:textId="43CAD7CC"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11600</w:t>
            </w:r>
          </w:p>
        </w:tc>
        <w:tc>
          <w:tcPr>
            <w:tcW w:w="3039" w:type="dxa"/>
            <w:vAlign w:val="center"/>
            <w:hideMark/>
          </w:tcPr>
          <w:p w14:paraId="086924AD" w14:textId="51E2126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CONTRATO DE FIDEICOMISO IRREVOCABLE DE ADMINISTRACIÓN Y PAGO </w:t>
            </w:r>
          </w:p>
        </w:tc>
        <w:tc>
          <w:tcPr>
            <w:tcW w:w="2268" w:type="dxa"/>
            <w:vAlign w:val="center"/>
            <w:hideMark/>
          </w:tcPr>
          <w:p w14:paraId="44B0C64E" w14:textId="5500BB4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IRREVOCABLE DE ADMINISTRACIÓN Y PAGO</w:t>
            </w:r>
          </w:p>
        </w:tc>
        <w:tc>
          <w:tcPr>
            <w:tcW w:w="1701" w:type="dxa"/>
            <w:noWrap/>
            <w:vAlign w:val="center"/>
            <w:hideMark/>
          </w:tcPr>
          <w:p w14:paraId="4CB486C9" w14:textId="1ECE6EA7" w:rsidR="00006419" w:rsidRPr="00AE36F0" w:rsidRDefault="00006419" w:rsidP="00006419">
            <w:pPr>
              <w:jc w:val="right"/>
              <w:rPr>
                <w:rFonts w:ascii="Montserrat" w:eastAsia="Times New Roman" w:hAnsi="Montserrat" w:cs="Arial"/>
                <w:sz w:val="16"/>
                <w:szCs w:val="16"/>
              </w:rPr>
            </w:pPr>
            <w:r w:rsidRPr="00AE36F0">
              <w:rPr>
                <w:rFonts w:ascii="Montserrat" w:hAnsi="Montserrat" w:cs="Calibri"/>
                <w:color w:val="000000"/>
                <w:sz w:val="22"/>
                <w:szCs w:val="22"/>
              </w:rPr>
              <w:t xml:space="preserve">38 </w:t>
            </w:r>
          </w:p>
        </w:tc>
      </w:tr>
      <w:tr w:rsidR="00006419" w:rsidRPr="00AE36F0" w14:paraId="2AD177E3" w14:textId="77777777" w:rsidTr="00006419">
        <w:trPr>
          <w:trHeight w:val="915"/>
        </w:trPr>
        <w:tc>
          <w:tcPr>
            <w:tcW w:w="579" w:type="dxa"/>
            <w:noWrap/>
            <w:vAlign w:val="center"/>
            <w:hideMark/>
          </w:tcPr>
          <w:p w14:paraId="5675C9E2" w14:textId="0342A56F"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4</w:t>
            </w:r>
          </w:p>
        </w:tc>
        <w:tc>
          <w:tcPr>
            <w:tcW w:w="1339" w:type="dxa"/>
            <w:noWrap/>
            <w:vAlign w:val="center"/>
            <w:hideMark/>
          </w:tcPr>
          <w:p w14:paraId="7FCED404" w14:textId="436E2C58"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17556</w:t>
            </w:r>
          </w:p>
        </w:tc>
        <w:tc>
          <w:tcPr>
            <w:tcW w:w="3039" w:type="dxa"/>
            <w:vAlign w:val="center"/>
            <w:hideMark/>
          </w:tcPr>
          <w:p w14:paraId="3CA89364" w14:textId="6DAB9F97"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FIDEICOMISOS IRREVOCABLE DE ADMINISTRACIÓN E INVERSIÓN (POLICÍAS ACAECIDOS EN CUMPLIMIENTO DE SU DEBER)</w:t>
            </w:r>
          </w:p>
        </w:tc>
        <w:tc>
          <w:tcPr>
            <w:tcW w:w="2268" w:type="dxa"/>
            <w:vAlign w:val="center"/>
            <w:hideMark/>
          </w:tcPr>
          <w:p w14:paraId="2A2B3992" w14:textId="32B5DD7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IRREVOCABLE DE ADMINISTRACIÓN E INVERSIÓN </w:t>
            </w:r>
          </w:p>
        </w:tc>
        <w:tc>
          <w:tcPr>
            <w:tcW w:w="1701" w:type="dxa"/>
            <w:noWrap/>
            <w:vAlign w:val="center"/>
            <w:hideMark/>
          </w:tcPr>
          <w:p w14:paraId="574C7280" w14:textId="3F05BB11"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535,852 </w:t>
            </w:r>
          </w:p>
        </w:tc>
      </w:tr>
      <w:tr w:rsidR="00006419" w:rsidRPr="00AE36F0" w14:paraId="32ED41F4" w14:textId="77777777" w:rsidTr="00006419">
        <w:trPr>
          <w:trHeight w:val="915"/>
        </w:trPr>
        <w:tc>
          <w:tcPr>
            <w:tcW w:w="579" w:type="dxa"/>
            <w:noWrap/>
            <w:vAlign w:val="center"/>
            <w:hideMark/>
          </w:tcPr>
          <w:p w14:paraId="40F0FBB5" w14:textId="59C29D33"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5</w:t>
            </w:r>
          </w:p>
        </w:tc>
        <w:tc>
          <w:tcPr>
            <w:tcW w:w="1339" w:type="dxa"/>
            <w:noWrap/>
            <w:vAlign w:val="center"/>
            <w:hideMark/>
          </w:tcPr>
          <w:p w14:paraId="77F52A17" w14:textId="32A870DA"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80678</w:t>
            </w:r>
          </w:p>
        </w:tc>
        <w:tc>
          <w:tcPr>
            <w:tcW w:w="3039" w:type="dxa"/>
            <w:vAlign w:val="center"/>
            <w:hideMark/>
          </w:tcPr>
          <w:p w14:paraId="135C9E4F" w14:textId="6A4E8E15"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PARA EL DESARROLLO LOGÍSTICO DEL ESTADO DE OAXACA / FIDELO</w:t>
            </w:r>
          </w:p>
        </w:tc>
        <w:tc>
          <w:tcPr>
            <w:tcW w:w="2268" w:type="dxa"/>
            <w:vAlign w:val="center"/>
            <w:hideMark/>
          </w:tcPr>
          <w:p w14:paraId="6331EA2E" w14:textId="32A58C3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IRREVOCABLE TRASLATIVO DE DOMINIO Y DE ADMINISTRACIÓN</w:t>
            </w:r>
          </w:p>
        </w:tc>
        <w:tc>
          <w:tcPr>
            <w:tcW w:w="1701" w:type="dxa"/>
            <w:noWrap/>
            <w:vAlign w:val="center"/>
            <w:hideMark/>
          </w:tcPr>
          <w:p w14:paraId="0CF1CA5E" w14:textId="70FFB2A9"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27,482,848 </w:t>
            </w:r>
          </w:p>
        </w:tc>
      </w:tr>
      <w:tr w:rsidR="00006419" w:rsidRPr="00AE36F0" w14:paraId="2542CCAF" w14:textId="77777777" w:rsidTr="00006419">
        <w:trPr>
          <w:trHeight w:val="690"/>
        </w:trPr>
        <w:tc>
          <w:tcPr>
            <w:tcW w:w="579" w:type="dxa"/>
            <w:noWrap/>
            <w:vAlign w:val="center"/>
            <w:hideMark/>
          </w:tcPr>
          <w:p w14:paraId="53080442" w14:textId="51EE1528"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6</w:t>
            </w:r>
          </w:p>
        </w:tc>
        <w:tc>
          <w:tcPr>
            <w:tcW w:w="1339" w:type="dxa"/>
            <w:noWrap/>
            <w:vAlign w:val="center"/>
            <w:hideMark/>
          </w:tcPr>
          <w:p w14:paraId="759830EA" w14:textId="0B6040BB"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2050</w:t>
            </w:r>
          </w:p>
        </w:tc>
        <w:tc>
          <w:tcPr>
            <w:tcW w:w="3039" w:type="dxa"/>
            <w:vAlign w:val="center"/>
            <w:hideMark/>
          </w:tcPr>
          <w:p w14:paraId="6A997226" w14:textId="421623FB"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PARA EL DESARROLLO REGIONAL SUR SURESTE (FIDESUR)</w:t>
            </w:r>
          </w:p>
        </w:tc>
        <w:tc>
          <w:tcPr>
            <w:tcW w:w="2268" w:type="dxa"/>
            <w:vAlign w:val="center"/>
            <w:hideMark/>
          </w:tcPr>
          <w:p w14:paraId="1BBD0070" w14:textId="520350D3"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INVERSIÓN                                                  Y FUENTE DE PAGO</w:t>
            </w:r>
          </w:p>
        </w:tc>
        <w:tc>
          <w:tcPr>
            <w:tcW w:w="1701" w:type="dxa"/>
            <w:noWrap/>
            <w:vAlign w:val="center"/>
            <w:hideMark/>
          </w:tcPr>
          <w:p w14:paraId="3CC679FE" w14:textId="758EA853" w:rsidR="00006419" w:rsidRPr="00AE36F0" w:rsidRDefault="00006419" w:rsidP="00006419">
            <w:pPr>
              <w:jc w:val="right"/>
              <w:rPr>
                <w:rFonts w:ascii="Montserrat" w:hAnsi="Montserrat" w:cs="Arial"/>
                <w:sz w:val="16"/>
                <w:szCs w:val="16"/>
              </w:rPr>
            </w:pPr>
            <w:r w:rsidRPr="00AE36F0">
              <w:rPr>
                <w:rFonts w:ascii="Montserrat" w:hAnsi="Montserrat" w:cs="Calibri"/>
                <w:color w:val="000000"/>
                <w:sz w:val="22"/>
                <w:szCs w:val="22"/>
              </w:rPr>
              <w:t xml:space="preserve">460,769 </w:t>
            </w:r>
          </w:p>
        </w:tc>
      </w:tr>
      <w:tr w:rsidR="00006419" w:rsidRPr="00AE36F0" w14:paraId="64C2BC14" w14:textId="77777777" w:rsidTr="00006419">
        <w:trPr>
          <w:trHeight w:val="690"/>
        </w:trPr>
        <w:tc>
          <w:tcPr>
            <w:tcW w:w="579" w:type="dxa"/>
            <w:noWrap/>
            <w:vAlign w:val="center"/>
            <w:hideMark/>
          </w:tcPr>
          <w:p w14:paraId="0EB30D06" w14:textId="0D6165C3"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7</w:t>
            </w:r>
          </w:p>
        </w:tc>
        <w:tc>
          <w:tcPr>
            <w:tcW w:w="1339" w:type="dxa"/>
            <w:noWrap/>
            <w:vAlign w:val="center"/>
            <w:hideMark/>
          </w:tcPr>
          <w:p w14:paraId="0607628B" w14:textId="24F9F5B7"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5868</w:t>
            </w:r>
          </w:p>
        </w:tc>
        <w:tc>
          <w:tcPr>
            <w:tcW w:w="3039" w:type="dxa"/>
            <w:vAlign w:val="center"/>
            <w:hideMark/>
          </w:tcPr>
          <w:p w14:paraId="645C2D49" w14:textId="4ADA44AB"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DE FONDO DE VIVIENDA MAGISTERIAL (FIPROVIM)</w:t>
            </w:r>
          </w:p>
        </w:tc>
        <w:tc>
          <w:tcPr>
            <w:tcW w:w="2268" w:type="dxa"/>
            <w:vAlign w:val="center"/>
            <w:hideMark/>
          </w:tcPr>
          <w:p w14:paraId="3F422B9A" w14:textId="51BDFEAC"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w:t>
            </w:r>
          </w:p>
        </w:tc>
        <w:tc>
          <w:tcPr>
            <w:tcW w:w="1701" w:type="dxa"/>
            <w:noWrap/>
            <w:vAlign w:val="center"/>
            <w:hideMark/>
          </w:tcPr>
          <w:p w14:paraId="688F83DE" w14:textId="31FC21A1" w:rsidR="00006419" w:rsidRPr="00AE36F0" w:rsidRDefault="00006419" w:rsidP="00006419">
            <w:pPr>
              <w:jc w:val="right"/>
              <w:rPr>
                <w:rFonts w:ascii="Montserrat" w:hAnsi="Montserrat" w:cs="Arial"/>
                <w:sz w:val="16"/>
                <w:szCs w:val="16"/>
              </w:rPr>
            </w:pPr>
            <w:r w:rsidRPr="00AE36F0">
              <w:rPr>
                <w:rFonts w:ascii="Montserrat" w:hAnsi="Montserrat" w:cs="Calibri"/>
                <w:color w:val="000000"/>
                <w:sz w:val="22"/>
                <w:szCs w:val="22"/>
              </w:rPr>
              <w:t xml:space="preserve">78,069,278 </w:t>
            </w:r>
          </w:p>
        </w:tc>
      </w:tr>
      <w:tr w:rsidR="00006419" w:rsidRPr="00AE36F0" w14:paraId="6B5F6CAE" w14:textId="77777777" w:rsidTr="00006419">
        <w:trPr>
          <w:trHeight w:val="915"/>
        </w:trPr>
        <w:tc>
          <w:tcPr>
            <w:tcW w:w="579" w:type="dxa"/>
            <w:noWrap/>
            <w:vAlign w:val="center"/>
            <w:hideMark/>
          </w:tcPr>
          <w:p w14:paraId="1DB642B4" w14:textId="21CF6437"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8</w:t>
            </w:r>
          </w:p>
        </w:tc>
        <w:tc>
          <w:tcPr>
            <w:tcW w:w="1339" w:type="dxa"/>
            <w:noWrap/>
            <w:vAlign w:val="center"/>
            <w:hideMark/>
          </w:tcPr>
          <w:p w14:paraId="7429BB65" w14:textId="196878A0"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360314033</w:t>
            </w:r>
          </w:p>
        </w:tc>
        <w:tc>
          <w:tcPr>
            <w:tcW w:w="3039" w:type="dxa"/>
            <w:vAlign w:val="center"/>
            <w:hideMark/>
          </w:tcPr>
          <w:p w14:paraId="000700E4" w14:textId="04E29533"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"FONDO DE GARANTÍA PARA LAS EMPRESAS DE SOLIDARIDAD DEL ESTADO DE OAXACA (FOGAROAX)"</w:t>
            </w:r>
          </w:p>
        </w:tc>
        <w:tc>
          <w:tcPr>
            <w:tcW w:w="2268" w:type="dxa"/>
            <w:vAlign w:val="center"/>
            <w:hideMark/>
          </w:tcPr>
          <w:p w14:paraId="27B9CD39" w14:textId="3E4C59D7"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INVERSIÓN Y GARANTÍA</w:t>
            </w:r>
            <w:r w:rsidRPr="00AE36F0">
              <w:rPr>
                <w:rFonts w:ascii="Montserrat" w:hAnsi="Montserrat" w:cs="Arial"/>
                <w:color w:val="000000"/>
                <w:sz w:val="16"/>
                <w:szCs w:val="16"/>
              </w:rPr>
              <w:br/>
              <w:t>COMPLEMENTARIA</w:t>
            </w:r>
          </w:p>
        </w:tc>
        <w:tc>
          <w:tcPr>
            <w:tcW w:w="1701" w:type="dxa"/>
            <w:noWrap/>
            <w:vAlign w:val="center"/>
            <w:hideMark/>
          </w:tcPr>
          <w:p w14:paraId="1E02C57F" w14:textId="7702A2AB"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5,656,073 </w:t>
            </w:r>
          </w:p>
        </w:tc>
      </w:tr>
      <w:tr w:rsidR="00006419" w:rsidRPr="00AE36F0" w14:paraId="53E5046C" w14:textId="77777777" w:rsidTr="00006419">
        <w:trPr>
          <w:trHeight w:val="1140"/>
        </w:trPr>
        <w:tc>
          <w:tcPr>
            <w:tcW w:w="579" w:type="dxa"/>
            <w:noWrap/>
            <w:vAlign w:val="center"/>
            <w:hideMark/>
          </w:tcPr>
          <w:p w14:paraId="46D93D5B" w14:textId="5B97BBAC"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9</w:t>
            </w:r>
          </w:p>
        </w:tc>
        <w:tc>
          <w:tcPr>
            <w:tcW w:w="1339" w:type="dxa"/>
            <w:noWrap/>
            <w:vAlign w:val="center"/>
            <w:hideMark/>
          </w:tcPr>
          <w:p w14:paraId="1713A680" w14:textId="6E24D731"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28445-5</w:t>
            </w:r>
          </w:p>
        </w:tc>
        <w:tc>
          <w:tcPr>
            <w:tcW w:w="3039" w:type="dxa"/>
            <w:vAlign w:val="center"/>
            <w:hideMark/>
          </w:tcPr>
          <w:p w14:paraId="67E73931" w14:textId="096B8A4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PARA EL PROGRAMA ESPECIAL DE FINANCIAMIENTO A LA VIVIENDA PARA EL MAGISTERIO DEL ESTADO DE OAXACA (FOVIMOAX)</w:t>
            </w:r>
          </w:p>
        </w:tc>
        <w:tc>
          <w:tcPr>
            <w:tcW w:w="2268" w:type="dxa"/>
            <w:vAlign w:val="center"/>
            <w:hideMark/>
          </w:tcPr>
          <w:p w14:paraId="2C89EB96" w14:textId="0803C2E2"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INVERSIÓN Y ADMINISTRACIÓN</w:t>
            </w:r>
          </w:p>
        </w:tc>
        <w:tc>
          <w:tcPr>
            <w:tcW w:w="1701" w:type="dxa"/>
            <w:noWrap/>
            <w:vAlign w:val="center"/>
            <w:hideMark/>
          </w:tcPr>
          <w:p w14:paraId="421FAAB7" w14:textId="7202F120"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71,650,607 </w:t>
            </w:r>
          </w:p>
        </w:tc>
      </w:tr>
      <w:tr w:rsidR="00006419" w:rsidRPr="00AE36F0" w14:paraId="1E595018" w14:textId="77777777" w:rsidTr="00006419">
        <w:trPr>
          <w:trHeight w:val="690"/>
        </w:trPr>
        <w:tc>
          <w:tcPr>
            <w:tcW w:w="579" w:type="dxa"/>
            <w:noWrap/>
            <w:vAlign w:val="center"/>
            <w:hideMark/>
          </w:tcPr>
          <w:p w14:paraId="13E78A30" w14:textId="48C18451"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10</w:t>
            </w:r>
          </w:p>
        </w:tc>
        <w:tc>
          <w:tcPr>
            <w:tcW w:w="1339" w:type="dxa"/>
            <w:noWrap/>
            <w:vAlign w:val="center"/>
            <w:hideMark/>
          </w:tcPr>
          <w:p w14:paraId="34AD1CF1" w14:textId="72E8CC9A"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80697</w:t>
            </w:r>
          </w:p>
        </w:tc>
        <w:tc>
          <w:tcPr>
            <w:tcW w:w="3039" w:type="dxa"/>
            <w:vAlign w:val="center"/>
            <w:hideMark/>
          </w:tcPr>
          <w:p w14:paraId="703C2AA8" w14:textId="1E81286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"OFICINA DE CONVENCIONES Y VISITANTES DE OAXACA, OCV OAXACA (OCV)"</w:t>
            </w:r>
          </w:p>
        </w:tc>
        <w:tc>
          <w:tcPr>
            <w:tcW w:w="2268" w:type="dxa"/>
            <w:vAlign w:val="center"/>
            <w:hideMark/>
          </w:tcPr>
          <w:p w14:paraId="4F3D5874" w14:textId="74FD37AB"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7F7749DB" w14:textId="10D4134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234,910 </w:t>
            </w:r>
          </w:p>
        </w:tc>
      </w:tr>
      <w:tr w:rsidR="00006419" w:rsidRPr="00AE36F0" w14:paraId="76EFA95A" w14:textId="77777777" w:rsidTr="00006419">
        <w:trPr>
          <w:trHeight w:val="465"/>
        </w:trPr>
        <w:tc>
          <w:tcPr>
            <w:tcW w:w="579" w:type="dxa"/>
            <w:noWrap/>
            <w:vAlign w:val="center"/>
            <w:hideMark/>
          </w:tcPr>
          <w:p w14:paraId="6362742B" w14:textId="6C511B56"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11</w:t>
            </w:r>
          </w:p>
        </w:tc>
        <w:tc>
          <w:tcPr>
            <w:tcW w:w="1339" w:type="dxa"/>
            <w:noWrap/>
            <w:vAlign w:val="center"/>
            <w:hideMark/>
          </w:tcPr>
          <w:p w14:paraId="530F9273" w14:textId="0A8B85D9"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80736</w:t>
            </w:r>
          </w:p>
        </w:tc>
        <w:tc>
          <w:tcPr>
            <w:tcW w:w="3039" w:type="dxa"/>
            <w:vAlign w:val="center"/>
            <w:hideMark/>
          </w:tcPr>
          <w:p w14:paraId="17723726" w14:textId="3769ACA7"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FIDEICOMISO DE FOMENTO PARA EL ESTADO DE OAXACA    FIFEO      </w:t>
            </w:r>
          </w:p>
        </w:tc>
        <w:tc>
          <w:tcPr>
            <w:tcW w:w="2268" w:type="dxa"/>
            <w:vAlign w:val="center"/>
            <w:hideMark/>
          </w:tcPr>
          <w:p w14:paraId="13BA5977" w14:textId="6FFFE57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6F06E798" w14:textId="7283CE3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56,986,897 </w:t>
            </w:r>
          </w:p>
        </w:tc>
      </w:tr>
      <w:tr w:rsidR="00006419" w:rsidRPr="00AE36F0" w14:paraId="36EDBF49" w14:textId="77777777" w:rsidTr="00006419">
        <w:trPr>
          <w:trHeight w:val="528"/>
        </w:trPr>
        <w:tc>
          <w:tcPr>
            <w:tcW w:w="579" w:type="dxa"/>
            <w:noWrap/>
            <w:vAlign w:val="center"/>
            <w:hideMark/>
          </w:tcPr>
          <w:p w14:paraId="6340DAB4" w14:textId="02830EAC"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lastRenderedPageBreak/>
              <w:t>12</w:t>
            </w:r>
          </w:p>
        </w:tc>
        <w:tc>
          <w:tcPr>
            <w:tcW w:w="1339" w:type="dxa"/>
            <w:noWrap/>
            <w:vAlign w:val="center"/>
            <w:hideMark/>
          </w:tcPr>
          <w:p w14:paraId="4A1312B7" w14:textId="0E8D7187"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2003410-1</w:t>
            </w:r>
          </w:p>
        </w:tc>
        <w:tc>
          <w:tcPr>
            <w:tcW w:w="3039" w:type="dxa"/>
            <w:vAlign w:val="center"/>
            <w:hideMark/>
          </w:tcPr>
          <w:p w14:paraId="58C1E2D3" w14:textId="03FF76C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FONDO DE PENSIONES PARA LOS INTEGRANTES DE LAS INSTITUCIONES POLICIALES DE LA SECRETARÍA DE SEGURIDAD PÚBLICA DEL ESTADO DE OAXACA</w:t>
            </w:r>
          </w:p>
        </w:tc>
        <w:tc>
          <w:tcPr>
            <w:tcW w:w="2268" w:type="dxa"/>
            <w:vAlign w:val="center"/>
            <w:hideMark/>
          </w:tcPr>
          <w:p w14:paraId="2127AB85" w14:textId="3E77A31E"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INVERSIÓN Y PAGO </w:t>
            </w:r>
          </w:p>
        </w:tc>
        <w:tc>
          <w:tcPr>
            <w:tcW w:w="1701" w:type="dxa"/>
            <w:noWrap/>
            <w:vAlign w:val="center"/>
            <w:hideMark/>
          </w:tcPr>
          <w:p w14:paraId="09EBD241" w14:textId="11F73B07"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49,206,420 </w:t>
            </w:r>
          </w:p>
        </w:tc>
      </w:tr>
      <w:tr w:rsidR="00006419" w:rsidRPr="00AE36F0" w14:paraId="248A0625" w14:textId="77777777" w:rsidTr="00006419">
        <w:trPr>
          <w:trHeight w:val="514"/>
        </w:trPr>
        <w:tc>
          <w:tcPr>
            <w:tcW w:w="579" w:type="dxa"/>
            <w:noWrap/>
            <w:vAlign w:val="center"/>
            <w:hideMark/>
          </w:tcPr>
          <w:p w14:paraId="59D02BC9" w14:textId="3604D953"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13</w:t>
            </w:r>
          </w:p>
        </w:tc>
        <w:tc>
          <w:tcPr>
            <w:tcW w:w="1339" w:type="dxa"/>
            <w:noWrap/>
            <w:vAlign w:val="center"/>
            <w:hideMark/>
          </w:tcPr>
          <w:p w14:paraId="222C96D0" w14:textId="6BCA7B36"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80063</w:t>
            </w:r>
          </w:p>
        </w:tc>
        <w:tc>
          <w:tcPr>
            <w:tcW w:w="3039" w:type="dxa"/>
            <w:vAlign w:val="center"/>
            <w:hideMark/>
          </w:tcPr>
          <w:p w14:paraId="23A26668" w14:textId="140001E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FIDEICOMISO DEL FONDO PARA EL FOMENTO ESTATAL DE LAS ACTIVIDADES PRODUCTIVAS DE OAXACA (FIDEAPO)  </w:t>
            </w:r>
          </w:p>
        </w:tc>
        <w:tc>
          <w:tcPr>
            <w:tcW w:w="2268" w:type="dxa"/>
            <w:vAlign w:val="center"/>
            <w:hideMark/>
          </w:tcPr>
          <w:p w14:paraId="283F6A24" w14:textId="3BFD6758"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23D7B00F" w14:textId="22D6665C"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0 </w:t>
            </w:r>
          </w:p>
        </w:tc>
      </w:tr>
      <w:tr w:rsidR="00006419" w:rsidRPr="00AE36F0" w14:paraId="7EE769DA" w14:textId="77777777" w:rsidTr="00006419">
        <w:trPr>
          <w:trHeight w:val="915"/>
        </w:trPr>
        <w:tc>
          <w:tcPr>
            <w:tcW w:w="579" w:type="dxa"/>
            <w:noWrap/>
            <w:vAlign w:val="center"/>
            <w:hideMark/>
          </w:tcPr>
          <w:p w14:paraId="5E1A72FC" w14:textId="4AE08414"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14</w:t>
            </w:r>
          </w:p>
        </w:tc>
        <w:tc>
          <w:tcPr>
            <w:tcW w:w="1339" w:type="dxa"/>
            <w:noWrap/>
            <w:vAlign w:val="center"/>
            <w:hideMark/>
          </w:tcPr>
          <w:p w14:paraId="37BA1A92" w14:textId="0699FEE9"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80064</w:t>
            </w:r>
          </w:p>
        </w:tc>
        <w:tc>
          <w:tcPr>
            <w:tcW w:w="3039" w:type="dxa"/>
            <w:vAlign w:val="center"/>
            <w:hideMark/>
          </w:tcPr>
          <w:p w14:paraId="799A1187" w14:textId="6DBEF0C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DEL FONDO DE FOMENTO A EMPRESAS DE SOLIDARIDAD EN EL ISTMO</w:t>
            </w:r>
            <w:r w:rsidRPr="00AE36F0">
              <w:rPr>
                <w:rFonts w:ascii="Montserrat" w:hAnsi="Montserrat" w:cs="Arial"/>
                <w:color w:val="000000"/>
                <w:sz w:val="16"/>
                <w:szCs w:val="16"/>
              </w:rPr>
              <w:br/>
              <w:t xml:space="preserve">DE OAXACA (FOFASIO) </w:t>
            </w:r>
          </w:p>
        </w:tc>
        <w:tc>
          <w:tcPr>
            <w:tcW w:w="2268" w:type="dxa"/>
            <w:vAlign w:val="center"/>
            <w:hideMark/>
          </w:tcPr>
          <w:p w14:paraId="269F549E" w14:textId="5DB0CF1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497DEC84" w14:textId="1F9E0DF2" w:rsidR="00006419" w:rsidRPr="00AE36F0" w:rsidRDefault="00006419" w:rsidP="00006419">
            <w:pPr>
              <w:jc w:val="right"/>
              <w:rPr>
                <w:rFonts w:ascii="Montserrat" w:eastAsia="Times New Roman" w:hAnsi="Montserrat" w:cs="Arial"/>
                <w:sz w:val="16"/>
                <w:szCs w:val="16"/>
              </w:rPr>
            </w:pPr>
            <w:r w:rsidRPr="00AE36F0">
              <w:rPr>
                <w:rFonts w:ascii="Montserrat" w:hAnsi="Montserrat" w:cs="Calibri"/>
                <w:color w:val="000000"/>
                <w:sz w:val="22"/>
                <w:szCs w:val="22"/>
              </w:rPr>
              <w:t xml:space="preserve">0 </w:t>
            </w:r>
          </w:p>
        </w:tc>
      </w:tr>
      <w:tr w:rsidR="00006419" w:rsidRPr="00AE36F0" w14:paraId="79C7B12D" w14:textId="77777777" w:rsidTr="00006419">
        <w:trPr>
          <w:trHeight w:val="465"/>
        </w:trPr>
        <w:tc>
          <w:tcPr>
            <w:tcW w:w="579" w:type="dxa"/>
            <w:noWrap/>
            <w:vAlign w:val="center"/>
            <w:hideMark/>
          </w:tcPr>
          <w:p w14:paraId="0ED4D19A" w14:textId="4FCA5A0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15</w:t>
            </w:r>
          </w:p>
        </w:tc>
        <w:tc>
          <w:tcPr>
            <w:tcW w:w="1339" w:type="dxa"/>
            <w:noWrap/>
            <w:vAlign w:val="center"/>
            <w:hideMark/>
          </w:tcPr>
          <w:p w14:paraId="1579A8BC" w14:textId="7E8B0F68"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11150</w:t>
            </w:r>
          </w:p>
        </w:tc>
        <w:tc>
          <w:tcPr>
            <w:tcW w:w="3039" w:type="dxa"/>
            <w:vAlign w:val="center"/>
            <w:hideMark/>
          </w:tcPr>
          <w:p w14:paraId="774AF914" w14:textId="67762E91"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DE FOMENTO MINERO (FIMO)</w:t>
            </w:r>
          </w:p>
        </w:tc>
        <w:tc>
          <w:tcPr>
            <w:tcW w:w="2268" w:type="dxa"/>
            <w:vAlign w:val="center"/>
            <w:hideMark/>
          </w:tcPr>
          <w:p w14:paraId="12426ABB" w14:textId="6A147155"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ENTIDAD PARAESTATAL</w:t>
            </w:r>
          </w:p>
        </w:tc>
        <w:tc>
          <w:tcPr>
            <w:tcW w:w="1701" w:type="dxa"/>
            <w:noWrap/>
            <w:vAlign w:val="center"/>
            <w:hideMark/>
          </w:tcPr>
          <w:p w14:paraId="19054228" w14:textId="77A80DD5"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16,712,816 </w:t>
            </w:r>
          </w:p>
        </w:tc>
      </w:tr>
      <w:tr w:rsidR="00006419" w:rsidRPr="00AE36F0" w14:paraId="65ECB06E" w14:textId="77777777" w:rsidTr="00006419">
        <w:trPr>
          <w:trHeight w:val="915"/>
        </w:trPr>
        <w:tc>
          <w:tcPr>
            <w:tcW w:w="579" w:type="dxa"/>
            <w:noWrap/>
            <w:vAlign w:val="center"/>
            <w:hideMark/>
          </w:tcPr>
          <w:p w14:paraId="7CE4F179" w14:textId="6A1D357B"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16</w:t>
            </w:r>
          </w:p>
        </w:tc>
        <w:tc>
          <w:tcPr>
            <w:tcW w:w="1339" w:type="dxa"/>
            <w:noWrap/>
            <w:vAlign w:val="center"/>
            <w:hideMark/>
          </w:tcPr>
          <w:p w14:paraId="76109EF9" w14:textId="57B257C3"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2249</w:t>
            </w:r>
          </w:p>
        </w:tc>
        <w:tc>
          <w:tcPr>
            <w:tcW w:w="3039" w:type="dxa"/>
            <w:vAlign w:val="center"/>
            <w:hideMark/>
          </w:tcPr>
          <w:p w14:paraId="76AFA593" w14:textId="2950BBDF"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CORREDOR BRT 1 PONIENTE DEL SISTEMA INTEGRADO DE TRANSPORTE DE LA ZONA METROPOLITANA DE OAXACA</w:t>
            </w:r>
          </w:p>
        </w:tc>
        <w:tc>
          <w:tcPr>
            <w:tcW w:w="2268" w:type="dxa"/>
            <w:vAlign w:val="center"/>
            <w:hideMark/>
          </w:tcPr>
          <w:p w14:paraId="4B6FE0A1" w14:textId="6704D532"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w:t>
            </w:r>
          </w:p>
        </w:tc>
        <w:tc>
          <w:tcPr>
            <w:tcW w:w="1701" w:type="dxa"/>
            <w:noWrap/>
            <w:vAlign w:val="center"/>
            <w:hideMark/>
          </w:tcPr>
          <w:p w14:paraId="1E094D71" w14:textId="5A5AF70C"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37,637,912 </w:t>
            </w:r>
          </w:p>
        </w:tc>
      </w:tr>
      <w:tr w:rsidR="00006419" w:rsidRPr="00AE36F0" w14:paraId="630C5385" w14:textId="77777777" w:rsidTr="00006419">
        <w:trPr>
          <w:trHeight w:val="465"/>
        </w:trPr>
        <w:tc>
          <w:tcPr>
            <w:tcW w:w="579" w:type="dxa"/>
            <w:noWrap/>
            <w:vAlign w:val="center"/>
            <w:hideMark/>
          </w:tcPr>
          <w:p w14:paraId="443957A2" w14:textId="449F51CC"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17</w:t>
            </w:r>
          </w:p>
        </w:tc>
        <w:tc>
          <w:tcPr>
            <w:tcW w:w="1339" w:type="dxa"/>
            <w:noWrap/>
            <w:vAlign w:val="center"/>
            <w:hideMark/>
          </w:tcPr>
          <w:p w14:paraId="66E3BC5D" w14:textId="0A39085E"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11041126</w:t>
            </w:r>
          </w:p>
        </w:tc>
        <w:tc>
          <w:tcPr>
            <w:tcW w:w="3039" w:type="dxa"/>
            <w:vAlign w:val="center"/>
            <w:hideMark/>
          </w:tcPr>
          <w:p w14:paraId="49BE25CF" w14:textId="0554309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FONDO DE DESASTRES NATURALES DEL ESTADO DE OAXACA (FDNEO)</w:t>
            </w:r>
          </w:p>
        </w:tc>
        <w:tc>
          <w:tcPr>
            <w:tcW w:w="2268" w:type="dxa"/>
            <w:vAlign w:val="center"/>
            <w:hideMark/>
          </w:tcPr>
          <w:p w14:paraId="1EBD50DD" w14:textId="66060E6A"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INVERSIÓN Y PAGO </w:t>
            </w:r>
          </w:p>
        </w:tc>
        <w:tc>
          <w:tcPr>
            <w:tcW w:w="1701" w:type="dxa"/>
            <w:noWrap/>
            <w:vAlign w:val="center"/>
            <w:hideMark/>
          </w:tcPr>
          <w:p w14:paraId="5FD3FFE1" w14:textId="01D130AC"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359,397,956 </w:t>
            </w:r>
          </w:p>
        </w:tc>
      </w:tr>
      <w:tr w:rsidR="00006419" w:rsidRPr="00AE36F0" w14:paraId="1AB30AE6" w14:textId="77777777" w:rsidTr="00006419">
        <w:trPr>
          <w:trHeight w:val="690"/>
        </w:trPr>
        <w:tc>
          <w:tcPr>
            <w:tcW w:w="579" w:type="dxa"/>
            <w:noWrap/>
            <w:vAlign w:val="center"/>
            <w:hideMark/>
          </w:tcPr>
          <w:p w14:paraId="6AED0E06" w14:textId="7C9F0571"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18</w:t>
            </w:r>
          </w:p>
        </w:tc>
        <w:tc>
          <w:tcPr>
            <w:tcW w:w="1339" w:type="dxa"/>
            <w:noWrap/>
            <w:vAlign w:val="center"/>
            <w:hideMark/>
          </w:tcPr>
          <w:p w14:paraId="233FEDEC" w14:textId="28B4D5AE"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4100558</w:t>
            </w:r>
          </w:p>
        </w:tc>
        <w:tc>
          <w:tcPr>
            <w:tcW w:w="3039" w:type="dxa"/>
            <w:vAlign w:val="center"/>
            <w:hideMark/>
          </w:tcPr>
          <w:p w14:paraId="66974662" w14:textId="21CB1854"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IRREVOCABLE DE ADMINISTRACIÓN Y FUENTE DE PAGO</w:t>
            </w:r>
          </w:p>
        </w:tc>
        <w:tc>
          <w:tcPr>
            <w:tcW w:w="2268" w:type="dxa"/>
            <w:vAlign w:val="center"/>
            <w:hideMark/>
          </w:tcPr>
          <w:p w14:paraId="5473FAA9" w14:textId="3E9A3E5C"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0064162A" w14:textId="5D967F9B"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36,746,852 </w:t>
            </w:r>
          </w:p>
        </w:tc>
      </w:tr>
      <w:tr w:rsidR="00006419" w:rsidRPr="00AE36F0" w14:paraId="2945DAA5" w14:textId="77777777" w:rsidTr="00006419">
        <w:trPr>
          <w:trHeight w:val="690"/>
        </w:trPr>
        <w:tc>
          <w:tcPr>
            <w:tcW w:w="579" w:type="dxa"/>
            <w:noWrap/>
            <w:vAlign w:val="center"/>
            <w:hideMark/>
          </w:tcPr>
          <w:p w14:paraId="61B5D187" w14:textId="1DC97609"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19</w:t>
            </w:r>
          </w:p>
        </w:tc>
        <w:tc>
          <w:tcPr>
            <w:tcW w:w="1339" w:type="dxa"/>
            <w:noWrap/>
            <w:vAlign w:val="center"/>
            <w:hideMark/>
          </w:tcPr>
          <w:p w14:paraId="17340435" w14:textId="1E3571BF"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10754</w:t>
            </w:r>
          </w:p>
        </w:tc>
        <w:tc>
          <w:tcPr>
            <w:tcW w:w="3039" w:type="dxa"/>
            <w:vAlign w:val="center"/>
            <w:hideMark/>
          </w:tcPr>
          <w:p w14:paraId="419228C4" w14:textId="187CFEEA"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FIDEICOMISO IRREVOCABLE DE ADMINISTRACIÓN Y FUENTE DE PAGO </w:t>
            </w:r>
          </w:p>
        </w:tc>
        <w:tc>
          <w:tcPr>
            <w:tcW w:w="2268" w:type="dxa"/>
            <w:vAlign w:val="center"/>
            <w:hideMark/>
          </w:tcPr>
          <w:p w14:paraId="1F32B3EF" w14:textId="24392056"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772D8B4C" w14:textId="2D9BF5BE"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2,905,502 </w:t>
            </w:r>
          </w:p>
        </w:tc>
      </w:tr>
      <w:tr w:rsidR="00006419" w:rsidRPr="00AE36F0" w14:paraId="418E83F1" w14:textId="77777777" w:rsidTr="00006419">
        <w:trPr>
          <w:trHeight w:val="690"/>
        </w:trPr>
        <w:tc>
          <w:tcPr>
            <w:tcW w:w="579" w:type="dxa"/>
            <w:noWrap/>
            <w:vAlign w:val="center"/>
            <w:hideMark/>
          </w:tcPr>
          <w:p w14:paraId="77E1C57A" w14:textId="59AEFAF9"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20</w:t>
            </w:r>
          </w:p>
        </w:tc>
        <w:tc>
          <w:tcPr>
            <w:tcW w:w="1339" w:type="dxa"/>
            <w:noWrap/>
            <w:vAlign w:val="center"/>
            <w:hideMark/>
          </w:tcPr>
          <w:p w14:paraId="2B61DBD9" w14:textId="7ADAD07C"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11581</w:t>
            </w:r>
          </w:p>
        </w:tc>
        <w:tc>
          <w:tcPr>
            <w:tcW w:w="3039" w:type="dxa"/>
            <w:vAlign w:val="center"/>
            <w:hideMark/>
          </w:tcPr>
          <w:p w14:paraId="643BD77E" w14:textId="544D798D"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FIDEICOMISO IRREVOCABLE DE ADMINISTRACIÓN Y FUENTE DE PAGO (MAS OAXACA)</w:t>
            </w:r>
          </w:p>
        </w:tc>
        <w:tc>
          <w:tcPr>
            <w:tcW w:w="2268" w:type="dxa"/>
            <w:vAlign w:val="center"/>
            <w:hideMark/>
          </w:tcPr>
          <w:p w14:paraId="66C6D76F" w14:textId="4A89D18E"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7543B548" w14:textId="54D18F15"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9,831,216 </w:t>
            </w:r>
          </w:p>
        </w:tc>
      </w:tr>
      <w:tr w:rsidR="00006419" w:rsidRPr="00AE36F0" w14:paraId="01BF14F1" w14:textId="77777777" w:rsidTr="00006419">
        <w:trPr>
          <w:trHeight w:val="915"/>
        </w:trPr>
        <w:tc>
          <w:tcPr>
            <w:tcW w:w="579" w:type="dxa"/>
            <w:noWrap/>
            <w:vAlign w:val="center"/>
            <w:hideMark/>
          </w:tcPr>
          <w:p w14:paraId="136886E6" w14:textId="2993F0F6"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21</w:t>
            </w:r>
          </w:p>
        </w:tc>
        <w:tc>
          <w:tcPr>
            <w:tcW w:w="1339" w:type="dxa"/>
            <w:noWrap/>
            <w:vAlign w:val="center"/>
            <w:hideMark/>
          </w:tcPr>
          <w:p w14:paraId="2C0BF0EF" w14:textId="55D6EA92" w:rsidR="00006419" w:rsidRPr="00AE36F0" w:rsidRDefault="00006419" w:rsidP="00006419">
            <w:pPr>
              <w:jc w:val="center"/>
              <w:rPr>
                <w:rFonts w:ascii="Montserrat" w:eastAsia="Times New Roman" w:hAnsi="Montserrat" w:cs="Arial"/>
                <w:sz w:val="16"/>
                <w:szCs w:val="16"/>
              </w:rPr>
            </w:pPr>
            <w:r w:rsidRPr="00AE36F0">
              <w:rPr>
                <w:rFonts w:ascii="Montserrat" w:hAnsi="Montserrat" w:cs="Arial"/>
                <w:color w:val="000000"/>
                <w:sz w:val="16"/>
                <w:szCs w:val="16"/>
              </w:rPr>
              <w:t>360958235</w:t>
            </w:r>
          </w:p>
        </w:tc>
        <w:tc>
          <w:tcPr>
            <w:tcW w:w="3039" w:type="dxa"/>
            <w:vAlign w:val="center"/>
            <w:hideMark/>
          </w:tcPr>
          <w:p w14:paraId="6126D052" w14:textId="48F586B9"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NIÑAS, NIÑOS, ADOLESCENTES Y ADULTOS DAMNIFICADOS DEL MUNICIPIO DE SANTIAGO JAMILTEPEC, OAXACA.</w:t>
            </w:r>
          </w:p>
        </w:tc>
        <w:tc>
          <w:tcPr>
            <w:tcW w:w="2268" w:type="dxa"/>
            <w:vAlign w:val="center"/>
            <w:hideMark/>
          </w:tcPr>
          <w:p w14:paraId="2912CF47" w14:textId="0685CD32"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 xml:space="preserve">ADMINISTRACIÓN, INVERSIÓN Y PAGO </w:t>
            </w:r>
          </w:p>
        </w:tc>
        <w:tc>
          <w:tcPr>
            <w:tcW w:w="1701" w:type="dxa"/>
            <w:noWrap/>
            <w:vAlign w:val="center"/>
            <w:hideMark/>
          </w:tcPr>
          <w:p w14:paraId="51A6A970" w14:textId="53658EEA"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2,673,749 </w:t>
            </w:r>
          </w:p>
        </w:tc>
      </w:tr>
      <w:tr w:rsidR="00006419" w:rsidRPr="00AE36F0" w14:paraId="0EC4DE46" w14:textId="77777777" w:rsidTr="00006419">
        <w:trPr>
          <w:trHeight w:val="690"/>
        </w:trPr>
        <w:tc>
          <w:tcPr>
            <w:tcW w:w="579" w:type="dxa"/>
            <w:noWrap/>
            <w:vAlign w:val="center"/>
            <w:hideMark/>
          </w:tcPr>
          <w:p w14:paraId="1A932091" w14:textId="29C14F7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22</w:t>
            </w:r>
          </w:p>
        </w:tc>
        <w:tc>
          <w:tcPr>
            <w:tcW w:w="1339" w:type="dxa"/>
            <w:noWrap/>
            <w:vAlign w:val="center"/>
            <w:hideMark/>
          </w:tcPr>
          <w:p w14:paraId="19552B4E" w14:textId="49A8F41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2004587</w:t>
            </w:r>
          </w:p>
        </w:tc>
        <w:tc>
          <w:tcPr>
            <w:tcW w:w="3039" w:type="dxa"/>
            <w:vAlign w:val="center"/>
            <w:hideMark/>
          </w:tcPr>
          <w:p w14:paraId="736B0488" w14:textId="0CAB7E2A" w:rsidR="00006419" w:rsidRPr="00AE36F0" w:rsidRDefault="00006419" w:rsidP="00006419">
            <w:pPr>
              <w:rPr>
                <w:rFonts w:ascii="Montserrat" w:eastAsia="Times New Roman" w:hAnsi="Montserrat" w:cs="Arial"/>
                <w:sz w:val="16"/>
                <w:szCs w:val="16"/>
              </w:rPr>
            </w:pPr>
            <w:r w:rsidRPr="00AE36F0">
              <w:rPr>
                <w:rFonts w:ascii="Montserrat" w:hAnsi="Montserrat" w:cs="Calibri"/>
                <w:color w:val="000000"/>
                <w:sz w:val="16"/>
                <w:szCs w:val="16"/>
              </w:rPr>
              <w:t>FIDEICOMISO MAESTRO DE ADMINISTRACIÓN Y FUENTE DE PAGO</w:t>
            </w:r>
          </w:p>
        </w:tc>
        <w:tc>
          <w:tcPr>
            <w:tcW w:w="2268" w:type="dxa"/>
            <w:vAlign w:val="center"/>
            <w:hideMark/>
          </w:tcPr>
          <w:p w14:paraId="6B99D442" w14:textId="2E4C9200"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0770D5C0" w14:textId="019B7736"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265,496,262 </w:t>
            </w:r>
          </w:p>
        </w:tc>
      </w:tr>
      <w:tr w:rsidR="00006419" w:rsidRPr="00AE36F0" w14:paraId="796AD407" w14:textId="77777777" w:rsidTr="00006419">
        <w:trPr>
          <w:trHeight w:val="690"/>
        </w:trPr>
        <w:tc>
          <w:tcPr>
            <w:tcW w:w="579" w:type="dxa"/>
            <w:noWrap/>
            <w:vAlign w:val="center"/>
            <w:hideMark/>
          </w:tcPr>
          <w:p w14:paraId="318FEDC2" w14:textId="1A7B9ADE"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23</w:t>
            </w:r>
          </w:p>
        </w:tc>
        <w:tc>
          <w:tcPr>
            <w:tcW w:w="1339" w:type="dxa"/>
            <w:noWrap/>
            <w:vAlign w:val="center"/>
            <w:hideMark/>
          </w:tcPr>
          <w:p w14:paraId="79A10C81" w14:textId="582B493A" w:rsidR="00006419" w:rsidRPr="00AE36F0" w:rsidRDefault="00006419" w:rsidP="00006419">
            <w:pPr>
              <w:jc w:val="center"/>
              <w:rPr>
                <w:rFonts w:ascii="Montserrat" w:eastAsia="Times New Roman" w:hAnsi="Montserrat" w:cs="Arial"/>
                <w:sz w:val="16"/>
                <w:szCs w:val="16"/>
              </w:rPr>
            </w:pPr>
            <w:r w:rsidRPr="00AE36F0">
              <w:rPr>
                <w:rFonts w:ascii="Montserrat" w:hAnsi="Montserrat" w:cs="Calibri"/>
                <w:color w:val="000000"/>
                <w:sz w:val="16"/>
                <w:szCs w:val="16"/>
              </w:rPr>
              <w:t>2004588</w:t>
            </w:r>
          </w:p>
        </w:tc>
        <w:tc>
          <w:tcPr>
            <w:tcW w:w="3039" w:type="dxa"/>
            <w:vAlign w:val="center"/>
            <w:hideMark/>
          </w:tcPr>
          <w:p w14:paraId="3269B9AF" w14:textId="4E2BC39B" w:rsidR="00006419" w:rsidRPr="00AE36F0" w:rsidRDefault="00006419" w:rsidP="00006419">
            <w:pPr>
              <w:rPr>
                <w:rFonts w:ascii="Montserrat" w:eastAsia="Times New Roman" w:hAnsi="Montserrat" w:cs="Arial"/>
                <w:sz w:val="16"/>
                <w:szCs w:val="16"/>
              </w:rPr>
            </w:pPr>
            <w:r w:rsidRPr="00AE36F0">
              <w:rPr>
                <w:rFonts w:ascii="Montserrat" w:hAnsi="Montserrat" w:cs="Calibri"/>
                <w:color w:val="000000"/>
                <w:sz w:val="16"/>
                <w:szCs w:val="16"/>
              </w:rPr>
              <w:t>FIDEICOMISO MAESTRO DE ADMINISTRACIÓN Y FUENTE DE PAGO</w:t>
            </w:r>
          </w:p>
        </w:tc>
        <w:tc>
          <w:tcPr>
            <w:tcW w:w="2268" w:type="dxa"/>
            <w:vAlign w:val="center"/>
            <w:hideMark/>
          </w:tcPr>
          <w:p w14:paraId="1D053C21" w14:textId="09E19638" w:rsidR="00006419" w:rsidRPr="00AE36F0" w:rsidRDefault="00006419" w:rsidP="00006419">
            <w:pPr>
              <w:rPr>
                <w:rFonts w:ascii="Montserrat" w:eastAsia="Times New Roman" w:hAnsi="Montserrat" w:cs="Arial"/>
                <w:sz w:val="16"/>
                <w:szCs w:val="16"/>
              </w:rPr>
            </w:pPr>
            <w:r w:rsidRPr="00AE36F0">
              <w:rPr>
                <w:rFonts w:ascii="Montserrat" w:hAnsi="Montserrat" w:cs="Arial"/>
                <w:color w:val="000000"/>
                <w:sz w:val="16"/>
                <w:szCs w:val="16"/>
              </w:rPr>
              <w:t>ADMINISTRACIÓN Y FUENTE DE PAGO</w:t>
            </w:r>
          </w:p>
        </w:tc>
        <w:tc>
          <w:tcPr>
            <w:tcW w:w="1701" w:type="dxa"/>
            <w:noWrap/>
            <w:vAlign w:val="center"/>
            <w:hideMark/>
          </w:tcPr>
          <w:p w14:paraId="6CE07163" w14:textId="5AA018E8" w:rsidR="00006419" w:rsidRPr="00AE36F0" w:rsidRDefault="00006419" w:rsidP="00006419">
            <w:pPr>
              <w:jc w:val="right"/>
              <w:rPr>
                <w:rFonts w:ascii="Montserrat" w:hAnsi="Montserrat" w:cs="Arial"/>
                <w:color w:val="000000"/>
                <w:sz w:val="16"/>
                <w:szCs w:val="16"/>
              </w:rPr>
            </w:pPr>
            <w:r w:rsidRPr="00AE36F0">
              <w:rPr>
                <w:rFonts w:ascii="Montserrat" w:hAnsi="Montserrat" w:cs="Calibri"/>
                <w:color w:val="000000"/>
                <w:sz w:val="22"/>
                <w:szCs w:val="22"/>
              </w:rPr>
              <w:t xml:space="preserve">148,891,442 </w:t>
            </w:r>
          </w:p>
        </w:tc>
      </w:tr>
      <w:tr w:rsidR="00006419" w:rsidRPr="00AE36F0" w14:paraId="59D4A2AB" w14:textId="77777777" w:rsidTr="00006419">
        <w:trPr>
          <w:trHeight w:val="605"/>
        </w:trPr>
        <w:tc>
          <w:tcPr>
            <w:tcW w:w="579" w:type="dxa"/>
            <w:noWrap/>
            <w:vAlign w:val="center"/>
            <w:hideMark/>
          </w:tcPr>
          <w:p w14:paraId="1255147F" w14:textId="344CF56B" w:rsidR="00006419" w:rsidRPr="00AE36F0" w:rsidRDefault="00006419" w:rsidP="00006419">
            <w:pPr>
              <w:rPr>
                <w:rFonts w:ascii="Montserrat" w:eastAsia="Times New Roman" w:hAnsi="Montserrat" w:cs="Arial"/>
                <w:sz w:val="16"/>
                <w:szCs w:val="16"/>
              </w:rPr>
            </w:pPr>
            <w:r w:rsidRPr="00AE36F0">
              <w:rPr>
                <w:rFonts w:ascii="Montserrat" w:hAnsi="Montserrat" w:cs="Calibri"/>
                <w:color w:val="000000"/>
                <w:sz w:val="16"/>
                <w:szCs w:val="16"/>
              </w:rPr>
              <w:t> </w:t>
            </w:r>
          </w:p>
        </w:tc>
        <w:tc>
          <w:tcPr>
            <w:tcW w:w="1339" w:type="dxa"/>
            <w:vAlign w:val="center"/>
            <w:hideMark/>
          </w:tcPr>
          <w:p w14:paraId="64FFFAAA" w14:textId="66DC38B0" w:rsidR="00006419" w:rsidRPr="00AE36F0" w:rsidRDefault="00006419" w:rsidP="00006419">
            <w:pPr>
              <w:jc w:val="center"/>
              <w:rPr>
                <w:rFonts w:ascii="Montserrat" w:eastAsia="Times New Roman" w:hAnsi="Montserrat" w:cs="Arial"/>
                <w:b/>
                <w:bCs/>
                <w:sz w:val="16"/>
                <w:szCs w:val="16"/>
              </w:rPr>
            </w:pPr>
            <w:r w:rsidRPr="00AE36F0">
              <w:rPr>
                <w:rFonts w:ascii="Montserrat" w:hAnsi="Montserrat" w:cs="Calibri"/>
                <w:b/>
                <w:bCs/>
                <w:color w:val="000000"/>
                <w:sz w:val="16"/>
                <w:szCs w:val="16"/>
              </w:rPr>
              <w:t>TOTAL</w:t>
            </w:r>
          </w:p>
        </w:tc>
        <w:tc>
          <w:tcPr>
            <w:tcW w:w="3039" w:type="dxa"/>
            <w:vAlign w:val="center"/>
            <w:hideMark/>
          </w:tcPr>
          <w:p w14:paraId="4B40443E" w14:textId="6FAF5C75" w:rsidR="00006419" w:rsidRPr="00AE36F0" w:rsidRDefault="00006419" w:rsidP="00006419">
            <w:pPr>
              <w:rPr>
                <w:rFonts w:ascii="Montserrat" w:eastAsia="Times New Roman" w:hAnsi="Montserrat" w:cs="Arial"/>
                <w:b/>
                <w:bCs/>
                <w:sz w:val="16"/>
                <w:szCs w:val="16"/>
              </w:rPr>
            </w:pPr>
            <w:r w:rsidRPr="00AE36F0">
              <w:rPr>
                <w:rFonts w:ascii="Montserrat" w:hAnsi="Montserrat" w:cs="Calibri"/>
                <w:b/>
                <w:bCs/>
                <w:color w:val="000000"/>
                <w:sz w:val="16"/>
                <w:szCs w:val="16"/>
              </w:rPr>
              <w:t> </w:t>
            </w:r>
          </w:p>
        </w:tc>
        <w:tc>
          <w:tcPr>
            <w:tcW w:w="2268" w:type="dxa"/>
            <w:vAlign w:val="center"/>
            <w:hideMark/>
          </w:tcPr>
          <w:p w14:paraId="7B86DB5B" w14:textId="4572BEE3" w:rsidR="00006419" w:rsidRPr="00AE36F0" w:rsidRDefault="00006419" w:rsidP="00006419">
            <w:pPr>
              <w:rPr>
                <w:rFonts w:ascii="Montserrat" w:eastAsia="Times New Roman" w:hAnsi="Montserrat" w:cs="Arial"/>
                <w:b/>
                <w:bCs/>
                <w:sz w:val="16"/>
                <w:szCs w:val="16"/>
              </w:rPr>
            </w:pPr>
            <w:r w:rsidRPr="00AE36F0">
              <w:rPr>
                <w:rFonts w:ascii="Montserrat" w:hAnsi="Montserrat" w:cs="Calibri"/>
                <w:b/>
                <w:bCs/>
                <w:color w:val="000000"/>
                <w:sz w:val="16"/>
                <w:szCs w:val="16"/>
              </w:rPr>
              <w:t> </w:t>
            </w:r>
          </w:p>
        </w:tc>
        <w:tc>
          <w:tcPr>
            <w:tcW w:w="1701" w:type="dxa"/>
            <w:noWrap/>
            <w:vAlign w:val="center"/>
            <w:hideMark/>
          </w:tcPr>
          <w:p w14:paraId="7F9A3448" w14:textId="525BA578" w:rsidR="00006419" w:rsidRPr="00AE36F0" w:rsidRDefault="00006419" w:rsidP="00006419">
            <w:pPr>
              <w:jc w:val="right"/>
              <w:rPr>
                <w:rFonts w:ascii="Montserrat" w:hAnsi="Montserrat" w:cs="Arial"/>
                <w:b/>
                <w:bCs/>
                <w:color w:val="000000"/>
                <w:sz w:val="16"/>
                <w:szCs w:val="16"/>
              </w:rPr>
            </w:pPr>
            <w:r w:rsidRPr="00AE36F0">
              <w:rPr>
                <w:rFonts w:ascii="Montserrat" w:hAnsi="Montserrat" w:cs="Calibri"/>
                <w:b/>
                <w:bCs/>
                <w:color w:val="000000"/>
                <w:sz w:val="22"/>
                <w:szCs w:val="22"/>
              </w:rPr>
              <w:t xml:space="preserve">1,208,330,806 </w:t>
            </w:r>
          </w:p>
        </w:tc>
      </w:tr>
    </w:tbl>
    <w:p w14:paraId="6F73754D" w14:textId="77777777" w:rsidR="00CA0CEF" w:rsidRDefault="00CA0CEF" w:rsidP="0087084D">
      <w:pPr>
        <w:rPr>
          <w:rFonts w:ascii="Montserrat" w:hAnsi="Montserrat"/>
          <w:b/>
        </w:rPr>
      </w:pPr>
    </w:p>
    <w:p w14:paraId="12218DDD" w14:textId="7130928F" w:rsidR="00B0059B" w:rsidRDefault="00B0059B" w:rsidP="0087084D">
      <w:pPr>
        <w:rPr>
          <w:rFonts w:ascii="Montserrat" w:hAnsi="Montserrat"/>
          <w:b/>
        </w:rPr>
      </w:pPr>
      <w:r w:rsidRPr="00AE36F0">
        <w:rPr>
          <w:rFonts w:ascii="Montserrat" w:hAnsi="Montserrat"/>
          <w:b/>
        </w:rPr>
        <w:t>Reporte de recaudación</w:t>
      </w:r>
    </w:p>
    <w:p w14:paraId="69221DAF" w14:textId="77777777" w:rsidR="0087084D" w:rsidRPr="00AE36F0" w:rsidRDefault="0087084D" w:rsidP="0087084D">
      <w:pPr>
        <w:rPr>
          <w:rFonts w:ascii="Montserrat" w:hAnsi="Montserrat"/>
          <w:b/>
        </w:rPr>
      </w:pPr>
    </w:p>
    <w:p w14:paraId="4628ED00" w14:textId="75B45D36" w:rsidR="00D70A3F" w:rsidRPr="00F17253" w:rsidRDefault="00D70A3F" w:rsidP="0087084D">
      <w:pPr>
        <w:ind w:left="360"/>
        <w:jc w:val="both"/>
        <w:rPr>
          <w:rFonts w:ascii="Montserrat" w:hAnsi="Montserrat" w:cs="Arial"/>
          <w:b/>
          <w:bCs/>
        </w:rPr>
      </w:pPr>
      <w:r w:rsidRPr="00F17253">
        <w:rPr>
          <w:rFonts w:ascii="Montserrat" w:hAnsi="Montserrat" w:cs="Arial"/>
          <w:b/>
          <w:bCs/>
        </w:rPr>
        <w:t xml:space="preserve">Acciones de Fiscalización, Resultados del Periodo Enero – </w:t>
      </w:r>
      <w:proofErr w:type="gramStart"/>
      <w:r w:rsidR="004F2FA8" w:rsidRPr="00F17253">
        <w:rPr>
          <w:rFonts w:ascii="Montserrat" w:hAnsi="Montserrat" w:cs="Arial"/>
          <w:b/>
          <w:bCs/>
        </w:rPr>
        <w:t>Diciembre</w:t>
      </w:r>
      <w:proofErr w:type="gramEnd"/>
      <w:r w:rsidR="004F2FA8" w:rsidRPr="00F17253">
        <w:rPr>
          <w:rFonts w:ascii="Montserrat" w:hAnsi="Montserrat" w:cs="Arial"/>
          <w:b/>
          <w:bCs/>
        </w:rPr>
        <w:t xml:space="preserve"> </w:t>
      </w:r>
      <w:r w:rsidRPr="00F17253">
        <w:rPr>
          <w:rFonts w:ascii="Montserrat" w:hAnsi="Montserrat" w:cs="Arial"/>
          <w:b/>
          <w:bCs/>
        </w:rPr>
        <w:t>de 202</w:t>
      </w:r>
      <w:r w:rsidR="0087084D" w:rsidRPr="00F17253">
        <w:rPr>
          <w:rFonts w:ascii="Montserrat" w:hAnsi="Montserrat" w:cs="Arial"/>
          <w:b/>
          <w:bCs/>
        </w:rPr>
        <w:t>5</w:t>
      </w:r>
      <w:r w:rsidRPr="00F17253">
        <w:rPr>
          <w:rFonts w:ascii="Montserrat" w:hAnsi="Montserrat" w:cs="Arial"/>
          <w:b/>
          <w:bCs/>
        </w:rPr>
        <w:t>.</w:t>
      </w:r>
    </w:p>
    <w:p w14:paraId="6987B069" w14:textId="77777777" w:rsidR="007B5ADF" w:rsidRPr="00AE36F0" w:rsidRDefault="007B5ADF" w:rsidP="00D70A3F">
      <w:pPr>
        <w:jc w:val="both"/>
        <w:rPr>
          <w:rFonts w:ascii="Montserrat" w:hAnsi="Montserrat" w:cs="Arial"/>
          <w:b/>
          <w:kern w:val="2"/>
          <w:lang w:eastAsia="en-US"/>
        </w:rPr>
      </w:pPr>
    </w:p>
    <w:p w14:paraId="248530B0" w14:textId="0078AB96" w:rsidR="003237FF" w:rsidRPr="00AE36F0" w:rsidRDefault="003237FF" w:rsidP="0087084D">
      <w:pPr>
        <w:rPr>
          <w:rFonts w:ascii="Montserrat" w:hAnsi="Montserrat"/>
          <w:b/>
        </w:rPr>
      </w:pPr>
      <w:r w:rsidRPr="00AE36F0">
        <w:rPr>
          <w:rFonts w:ascii="Montserrat" w:hAnsi="Montserrat"/>
          <w:b/>
        </w:rPr>
        <w:t>IMPUESTOS FEDERALES</w:t>
      </w:r>
    </w:p>
    <w:p w14:paraId="3B8C9A9C" w14:textId="5F213156" w:rsidR="003237FF" w:rsidRPr="00AE36F0" w:rsidRDefault="006C7F29" w:rsidP="006C7F29">
      <w:pPr>
        <w:tabs>
          <w:tab w:val="left" w:pos="1838"/>
        </w:tabs>
        <w:jc w:val="both"/>
        <w:rPr>
          <w:rFonts w:ascii="Montserrat" w:hAnsi="Montserrat" w:cs="Arial"/>
          <w:b/>
          <w:kern w:val="2"/>
          <w:lang w:eastAsia="en-US"/>
        </w:rPr>
      </w:pPr>
      <w:r w:rsidRPr="00AE36F0">
        <w:rPr>
          <w:rFonts w:ascii="Montserrat" w:hAnsi="Montserrat" w:cs="Arial"/>
          <w:b/>
          <w:kern w:val="2"/>
          <w:lang w:eastAsia="en-US"/>
        </w:rPr>
        <w:tab/>
      </w:r>
    </w:p>
    <w:p w14:paraId="695BD2E7" w14:textId="4946EF3C" w:rsidR="003237FF" w:rsidRPr="00AE36F0" w:rsidRDefault="003237FF" w:rsidP="0087084D">
      <w:pPr>
        <w:rPr>
          <w:rFonts w:ascii="Montserrat" w:hAnsi="Montserrat"/>
          <w:b/>
        </w:rPr>
      </w:pPr>
      <w:r w:rsidRPr="00AE36F0">
        <w:rPr>
          <w:rFonts w:ascii="Montserrat" w:hAnsi="Montserrat"/>
          <w:b/>
        </w:rPr>
        <w:t>ACTOS DE FISCALIZACIÓN</w:t>
      </w:r>
    </w:p>
    <w:p w14:paraId="24A9A702" w14:textId="77777777" w:rsidR="003237FF" w:rsidRPr="00AE36F0" w:rsidRDefault="003237FF" w:rsidP="003234FF">
      <w:pPr>
        <w:ind w:left="360"/>
        <w:jc w:val="both"/>
        <w:rPr>
          <w:rFonts w:ascii="Montserrat" w:hAnsi="Montserrat" w:cs="Arial"/>
          <w:highlight w:val="yellow"/>
        </w:rPr>
      </w:pPr>
    </w:p>
    <w:p w14:paraId="63E04D34" w14:textId="106FD3F4" w:rsidR="00F17253" w:rsidRDefault="004F2FA8" w:rsidP="00BB7979">
      <w:pPr>
        <w:ind w:left="426"/>
        <w:jc w:val="both"/>
        <w:rPr>
          <w:rFonts w:ascii="Montserrat" w:hAnsi="Montserrat" w:cs="Arial"/>
        </w:rPr>
      </w:pPr>
      <w:r w:rsidRPr="00AE36F0">
        <w:rPr>
          <w:rFonts w:ascii="Montserrat" w:hAnsi="Montserrat" w:cs="Arial"/>
        </w:rPr>
        <w:t>Dentro de las atribuciones a cargo de la Secretaría de Finanzas, relacionadas con la verificación del cumplimiento de las obligaciones fiscales de los contribuyentes, la Dirección de Auditoría e Inspección Fiscal durante el ejercicio fiscal 2025 concluyó 626 actos de fiscalización en materia de impuestos federales, cabe señalar que de acuerdo a la concertación del Programa Operativo Anual 2025 la meta anual fue de 389 actos, lográndose al cuarto trimestre un avance del 160.92 % respecto a dicha meta.</w:t>
      </w:r>
    </w:p>
    <w:p w14:paraId="008BA652" w14:textId="3FA5E6A7" w:rsidR="00BB7979" w:rsidRDefault="00BB7979" w:rsidP="00BB7979">
      <w:pPr>
        <w:ind w:left="426"/>
        <w:jc w:val="both"/>
        <w:rPr>
          <w:rFonts w:ascii="Montserrat" w:hAnsi="Montserrat" w:cs="Arial"/>
        </w:rPr>
      </w:pPr>
    </w:p>
    <w:p w14:paraId="0AC1034F" w14:textId="5A8E6F68" w:rsidR="00BB7979" w:rsidRDefault="00F13C24" w:rsidP="00BB7979">
      <w:pPr>
        <w:ind w:left="426"/>
        <w:jc w:val="both"/>
        <w:rPr>
          <w:rFonts w:ascii="Montserrat" w:hAnsi="Montserrat" w:cs="Arial"/>
        </w:rPr>
      </w:pPr>
      <w:r w:rsidRPr="00A919BD">
        <w:rPr>
          <w:noProof/>
        </w:rPr>
        <mc:AlternateContent>
          <mc:Choice Requires="wpg">
            <w:drawing>
              <wp:anchor distT="0" distB="0" distL="114300" distR="114300" simplePos="0" relativeHeight="251659264" behindDoc="0" locked="0" layoutInCell="1" allowOverlap="1" wp14:anchorId="08AB728A" wp14:editId="01F62F64">
                <wp:simplePos x="0" y="0"/>
                <wp:positionH relativeFrom="margin">
                  <wp:posOffset>552258</wp:posOffset>
                </wp:positionH>
                <wp:positionV relativeFrom="paragraph">
                  <wp:posOffset>65228</wp:posOffset>
                </wp:positionV>
                <wp:extent cx="4837814" cy="2317750"/>
                <wp:effectExtent l="0" t="0" r="1270" b="6350"/>
                <wp:wrapNone/>
                <wp:docPr id="3" name="10 Grupo">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microsoft.com/office/word/2010/wordprocessingGroup">
                    <wpg:wgp>
                      <wpg:cNvGrpSpPr/>
                      <wpg:grpSpPr>
                        <a:xfrm>
                          <a:off x="0" y="0"/>
                          <a:ext cx="4837814" cy="2317750"/>
                          <a:chOff x="-73411" y="2478"/>
                          <a:chExt cx="4824119" cy="2518881"/>
                        </a:xfrm>
                      </wpg:grpSpPr>
                      <wpg:graphicFrame>
                        <wpg:cNvPr id="528935126" name="6 Gráfico">
                          <a:extLst>
                            <a:ext uri="{FF2B5EF4-FFF2-40B4-BE49-F238E27FC236}">
                              <a16:creationId xmlns:a16="http://schemas.microsoft.com/office/drawing/2014/main" id="{00000000-0008-0000-0400-000004000000}"/>
                            </a:ext>
                          </a:extLst>
                        </wpg:cNvPr>
                        <wpg:cNvFrPr/>
                        <wpg:xfrm>
                          <a:off x="-73411" y="30571"/>
                          <a:ext cx="4824119" cy="2490788"/>
                        </wpg:xfrm>
                        <a:graphic>
                          <a:graphicData uri="http://schemas.openxmlformats.org/drawingml/2006/chart">
                            <c:chart xmlns:c="http://schemas.openxmlformats.org/drawingml/2006/chart" xmlns:r="http://schemas.openxmlformats.org/officeDocument/2006/relationships" r:id="rId12"/>
                          </a:graphicData>
                        </a:graphic>
                      </wpg:graphicFrame>
                      <wps:wsp>
                        <wps:cNvPr id="395235034" name="8 CuadroTexto">
                          <a:extLst>
                            <a:ext uri="{FF2B5EF4-FFF2-40B4-BE49-F238E27FC236}">
                              <a16:creationId xmlns:a16="http://schemas.microsoft.com/office/drawing/2014/main" id="{00000000-0008-0000-0400-000005000000}"/>
                            </a:ext>
                          </a:extLst>
                        </wps:cNvPr>
                        <wps:cNvSpPr txBox="1"/>
                        <wps:spPr>
                          <a:xfrm>
                            <a:off x="1845860" y="2478"/>
                            <a:ext cx="2105336" cy="29370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7F5ABE" w14:textId="77777777" w:rsidR="00BB7979" w:rsidRDefault="00BB7979" w:rsidP="00BB797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8AB728A" id="10 Grupo" o:spid="_x0000_s1026" style="position:absolute;left:0;text-align:left;margin-left:43.5pt;margin-top:5.15pt;width:380.95pt;height:182.5pt;z-index:251659264;mso-position-horizontal-relative:margin;mso-width-relative:margin;mso-height-relative:margin" coordorigin="-734,24" coordsize="48241,2518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Gráfico" o:spid="_x0000_s1027" type="#_x0000_t75" style="position:absolute;left:-794;top:223;width:48385;height:250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">
                  <v:imagedata r:id="rId13" o:title=""/>
                  <o:lock v:ext="edit" aspectratio="f"/>
                </v:shape>
                <v:shapetype id="_x0000_t202" coordsize="21600,21600" o:spt="202" path="m,l,21600r21600,l21600,xe">
                  <v:stroke joinstyle="miter"/>
                  <v:path gradientshapeok="t" o:connecttype="rect"/>
                </v:shapetype>
                <v:shape id="8 CuadroTexto" o:spid="_x0000_s1028" type="#_x0000_t202" style="position:absolute;left:18458;top:24;width:2105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" filled="f" stroked="f">
                  <v:textbox>
                    <w:txbxContent>
                      <w:p w14:paraId="0D7F5ABE" w14:textId="77777777" w:rsidR="00BB7979" w:rsidRDefault="00BB7979" w:rsidP="00BB797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v:textbox>
                </v:shape>
                <w10:wrap anchorx="margin"/>
              </v:group>
            </w:pict>
          </mc:Fallback>
        </mc:AlternateContent>
      </w:r>
    </w:p>
    <w:p w14:paraId="443564D6" w14:textId="22FE87C0" w:rsidR="00BB7979" w:rsidRDefault="00BB7979" w:rsidP="00BB7979">
      <w:pPr>
        <w:ind w:left="426"/>
        <w:jc w:val="both"/>
        <w:rPr>
          <w:rFonts w:ascii="Montserrat" w:hAnsi="Montserrat" w:cs="Arial"/>
        </w:rPr>
      </w:pPr>
    </w:p>
    <w:p w14:paraId="3D959516" w14:textId="4EC08C27" w:rsidR="00F13C24" w:rsidRDefault="00F13C24">
      <w:pPr>
        <w:rPr>
          <w:rFonts w:ascii="Montserrat" w:hAnsi="Montserrat" w:cs="Arial"/>
        </w:rPr>
      </w:pPr>
      <w:r>
        <w:rPr>
          <w:rFonts w:ascii="Montserrat" w:hAnsi="Montserrat" w:cs="Arial"/>
        </w:rPr>
        <w:br w:type="page"/>
      </w:r>
    </w:p>
    <w:p w14:paraId="04D4481D" w14:textId="6B9590C9" w:rsidR="0087084D" w:rsidRPr="00AE36F0" w:rsidRDefault="0087084D" w:rsidP="0087084D">
      <w:pPr>
        <w:rPr>
          <w:rFonts w:ascii="Montserrat" w:hAnsi="Montserrat"/>
          <w:b/>
        </w:rPr>
      </w:pPr>
      <w:r w:rsidRPr="00AE36F0">
        <w:rPr>
          <w:rFonts w:ascii="Montserrat" w:hAnsi="Montserrat"/>
          <w:b/>
        </w:rPr>
        <w:lastRenderedPageBreak/>
        <w:t>ACTOS DE EJEMPLARIDAD</w:t>
      </w:r>
    </w:p>
    <w:p w14:paraId="4F1FDA1A" w14:textId="77777777" w:rsidR="00646FD3" w:rsidRPr="00AE36F0" w:rsidRDefault="00646FD3" w:rsidP="00646FD3">
      <w:pPr>
        <w:ind w:left="360"/>
        <w:contextualSpacing/>
        <w:jc w:val="both"/>
        <w:rPr>
          <w:rFonts w:ascii="Montserrat" w:eastAsia="Arial Unicode MS" w:hAnsi="Montserrat" w:cs="Arial"/>
          <w:b/>
          <w:sz w:val="18"/>
          <w:szCs w:val="18"/>
          <w:highlight w:val="yellow"/>
        </w:rPr>
      </w:pPr>
    </w:p>
    <w:p w14:paraId="13FF0345" w14:textId="3E8BF062" w:rsidR="00646FD3" w:rsidRPr="00AE36F0" w:rsidRDefault="004F2FA8" w:rsidP="004F2FA8">
      <w:pPr>
        <w:ind w:left="426"/>
        <w:jc w:val="both"/>
        <w:rPr>
          <w:rFonts w:ascii="Montserrat" w:hAnsi="Montserrat" w:cs="Arial"/>
        </w:rPr>
      </w:pPr>
      <w:bookmarkStart w:id="4" w:name="_Hlk220448358"/>
      <w:r w:rsidRPr="00AE36F0">
        <w:rPr>
          <w:rFonts w:ascii="Montserrat" w:hAnsi="Montserrat" w:cs="Arial"/>
        </w:rPr>
        <w:t>Con la finalidad de incrementar la percepción de riesgo en los contribuyentes incumplidos, se llevaron a cabo 14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2025 fue de 14 acciones, lográndose al cuarto trimestre el 100 % respecto a dicha meta.</w:t>
      </w:r>
    </w:p>
    <w:bookmarkEnd w:id="4"/>
    <w:p w14:paraId="392D3027" w14:textId="77777777" w:rsidR="00646FD3" w:rsidRPr="00AE36F0" w:rsidRDefault="00646FD3" w:rsidP="00646FD3">
      <w:pPr>
        <w:spacing w:after="200" w:line="276" w:lineRule="auto"/>
        <w:contextualSpacing/>
        <w:jc w:val="both"/>
        <w:rPr>
          <w:rFonts w:ascii="Montserrat" w:hAnsi="Montserrat"/>
          <w:noProof/>
          <w:highlight w:val="yellow"/>
          <w:lang w:val="es-MX"/>
        </w:rPr>
      </w:pPr>
    </w:p>
    <w:p w14:paraId="6B991B7C" w14:textId="77777777" w:rsidR="00F17253" w:rsidRDefault="004F2FA8" w:rsidP="00F13C24">
      <w:pPr>
        <w:spacing w:after="200" w:line="276" w:lineRule="auto"/>
        <w:contextualSpacing/>
        <w:jc w:val="center"/>
        <w:rPr>
          <w:rFonts w:ascii="Montserrat" w:hAnsi="Montserrat"/>
          <w:b/>
        </w:rPr>
      </w:pPr>
      <w:r w:rsidRPr="00AE36F0">
        <w:rPr>
          <w:rFonts w:ascii="Montserrat" w:hAnsi="Montserrat"/>
          <w:noProof/>
          <w:lang w:val="es-MX"/>
        </w:rPr>
        <w:drawing>
          <wp:inline distT="0" distB="0" distL="0" distR="0" wp14:anchorId="1F58F360" wp14:editId="6118AF23">
            <wp:extent cx="4731489" cy="1931704"/>
            <wp:effectExtent l="0" t="0" r="0" b="0"/>
            <wp:docPr id="5123809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1489" cy="1931704"/>
                    </a:xfrm>
                    <a:prstGeom prst="rect">
                      <a:avLst/>
                    </a:prstGeom>
                    <a:noFill/>
                  </pic:spPr>
                </pic:pic>
              </a:graphicData>
            </a:graphic>
          </wp:inline>
        </w:drawing>
      </w:r>
    </w:p>
    <w:p w14:paraId="4ACACB59" w14:textId="77777777" w:rsidR="00F17253" w:rsidRDefault="00F17253" w:rsidP="00F17253">
      <w:pPr>
        <w:spacing w:after="200" w:line="276" w:lineRule="auto"/>
        <w:contextualSpacing/>
        <w:jc w:val="both"/>
        <w:rPr>
          <w:rFonts w:ascii="Montserrat" w:hAnsi="Montserrat"/>
          <w:b/>
        </w:rPr>
      </w:pPr>
    </w:p>
    <w:p w14:paraId="71A0A110" w14:textId="60E80473" w:rsidR="0087084D" w:rsidRPr="00AE36F0" w:rsidRDefault="0087084D" w:rsidP="00F17253">
      <w:pPr>
        <w:spacing w:after="200" w:line="276" w:lineRule="auto"/>
        <w:contextualSpacing/>
        <w:jc w:val="both"/>
        <w:rPr>
          <w:rFonts w:ascii="Montserrat" w:hAnsi="Montserrat"/>
          <w:b/>
        </w:rPr>
      </w:pPr>
      <w:r w:rsidRPr="00AE36F0">
        <w:rPr>
          <w:rFonts w:ascii="Montserrat" w:hAnsi="Montserrat"/>
          <w:b/>
        </w:rPr>
        <w:t>CIFRAS COBRADAS Y VIRTUALES DEL PROGRAMA OPERATIVO ANUAL FEDERAL</w:t>
      </w:r>
    </w:p>
    <w:p w14:paraId="3A4FD65A" w14:textId="77777777" w:rsidR="0087084D" w:rsidRPr="00AE36F0" w:rsidRDefault="0087084D" w:rsidP="003234FF">
      <w:pPr>
        <w:ind w:left="360"/>
        <w:jc w:val="both"/>
        <w:rPr>
          <w:rFonts w:ascii="Montserrat" w:hAnsi="Montserrat" w:cs="Arial"/>
          <w:highlight w:val="yellow"/>
        </w:rPr>
      </w:pPr>
    </w:p>
    <w:p w14:paraId="780FA207" w14:textId="77777777" w:rsidR="004F2FA8" w:rsidRPr="00AE36F0" w:rsidRDefault="004F2FA8" w:rsidP="004F2FA8">
      <w:pPr>
        <w:ind w:left="426"/>
        <w:jc w:val="both"/>
        <w:rPr>
          <w:rFonts w:ascii="Montserrat" w:hAnsi="Montserrat" w:cs="Arial"/>
        </w:rPr>
      </w:pPr>
      <w:r w:rsidRPr="00AE36F0">
        <w:rPr>
          <w:rFonts w:ascii="Montserrat" w:hAnsi="Montserrat" w:cs="Arial"/>
        </w:rPr>
        <w:t>Con la finalidad de promover la eficiencia de la función de fiscalización, así como para lograr una cobertura más uniforme con el universo de contribuyentes, a través del Programa Operativo Anual, se concertó una meta recaudatoria para el ejercicio 2025, obteniéndose al mes de diciembre lo siguiente:</w:t>
      </w:r>
    </w:p>
    <w:p w14:paraId="0AC7CF12" w14:textId="77777777" w:rsidR="004F2FA8" w:rsidRPr="00AE36F0" w:rsidRDefault="004F2FA8" w:rsidP="004F2FA8">
      <w:pPr>
        <w:jc w:val="both"/>
        <w:rPr>
          <w:rFonts w:ascii="Montserrat" w:hAnsi="Montserrat" w:cs="Arial"/>
          <w:kern w:val="2"/>
          <w:lang w:eastAsia="en-US"/>
        </w:rPr>
      </w:pPr>
    </w:p>
    <w:tbl>
      <w:tblPr>
        <w:tblW w:w="8820" w:type="dxa"/>
        <w:jc w:val="center"/>
        <w:tblCellMar>
          <w:left w:w="70" w:type="dxa"/>
          <w:right w:w="70" w:type="dxa"/>
        </w:tblCellMar>
        <w:tblLook w:val="04A0" w:firstRow="1" w:lastRow="0" w:firstColumn="1" w:lastColumn="0" w:noHBand="0" w:noVBand="1"/>
      </w:tblPr>
      <w:tblGrid>
        <w:gridCol w:w="1980"/>
        <w:gridCol w:w="1980"/>
        <w:gridCol w:w="2880"/>
        <w:gridCol w:w="1980"/>
      </w:tblGrid>
      <w:tr w:rsidR="004F2FA8" w:rsidRPr="00AE36F0" w14:paraId="231918C4" w14:textId="77777777" w:rsidTr="004B75E1">
        <w:trPr>
          <w:trHeight w:val="630"/>
          <w:jc w:val="center"/>
        </w:trPr>
        <w:tc>
          <w:tcPr>
            <w:tcW w:w="1980" w:type="dxa"/>
            <w:tcBorders>
              <w:top w:val="single" w:sz="4" w:space="0" w:color="DA9694"/>
              <w:left w:val="single" w:sz="4" w:space="0" w:color="DA9694"/>
              <w:bottom w:val="single" w:sz="4" w:space="0" w:color="DA9694"/>
              <w:right w:val="nil"/>
            </w:tcBorders>
            <w:shd w:val="clear" w:color="000000" w:fill="C0504D"/>
            <w:vAlign w:val="center"/>
            <w:hideMark/>
          </w:tcPr>
          <w:p w14:paraId="2E5FA800"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CONCEPTO</w:t>
            </w:r>
          </w:p>
        </w:tc>
        <w:tc>
          <w:tcPr>
            <w:tcW w:w="1980" w:type="dxa"/>
            <w:tcBorders>
              <w:top w:val="single" w:sz="4" w:space="0" w:color="DA9694"/>
              <w:left w:val="nil"/>
              <w:bottom w:val="single" w:sz="4" w:space="0" w:color="DA9694"/>
              <w:right w:val="nil"/>
            </w:tcBorders>
            <w:shd w:val="clear" w:color="000000" w:fill="C0504D"/>
            <w:vAlign w:val="center"/>
            <w:hideMark/>
          </w:tcPr>
          <w:p w14:paraId="26BCE643"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META ANUAL</w:t>
            </w:r>
          </w:p>
        </w:tc>
        <w:tc>
          <w:tcPr>
            <w:tcW w:w="2880" w:type="dxa"/>
            <w:tcBorders>
              <w:top w:val="single" w:sz="4" w:space="0" w:color="DA9694"/>
              <w:left w:val="nil"/>
              <w:bottom w:val="single" w:sz="4" w:space="0" w:color="DA9694"/>
              <w:right w:val="nil"/>
            </w:tcBorders>
            <w:shd w:val="clear" w:color="000000" w:fill="C0504D"/>
            <w:vAlign w:val="center"/>
            <w:hideMark/>
          </w:tcPr>
          <w:p w14:paraId="37DA5F26"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 xml:space="preserve">RECAUDADO          </w:t>
            </w:r>
            <w:r w:rsidRPr="00AE36F0">
              <w:rPr>
                <w:rFonts w:ascii="Montserrat" w:hAnsi="Montserrat" w:cs="Arial"/>
                <w:b/>
                <w:bCs/>
                <w:color w:val="FFFFFF"/>
                <w:sz w:val="18"/>
                <w:szCs w:val="18"/>
                <w:lang w:val="es-MX"/>
              </w:rPr>
              <w:br/>
              <w:t>(MILES DE PESOS)</w:t>
            </w:r>
          </w:p>
        </w:tc>
        <w:tc>
          <w:tcPr>
            <w:tcW w:w="1980" w:type="dxa"/>
            <w:tcBorders>
              <w:top w:val="single" w:sz="4" w:space="0" w:color="DA9694"/>
              <w:left w:val="nil"/>
              <w:bottom w:val="single" w:sz="4" w:space="0" w:color="DA9694"/>
              <w:right w:val="single" w:sz="4" w:space="0" w:color="DA9694"/>
            </w:tcBorders>
            <w:shd w:val="clear" w:color="000000" w:fill="C0504D"/>
            <w:vAlign w:val="center"/>
            <w:hideMark/>
          </w:tcPr>
          <w:p w14:paraId="4F81013B"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AVANCE</w:t>
            </w:r>
          </w:p>
        </w:tc>
      </w:tr>
      <w:tr w:rsidR="004F2FA8" w:rsidRPr="00AE36F0" w14:paraId="538A2AC9" w14:textId="77777777" w:rsidTr="004B75E1">
        <w:trPr>
          <w:trHeight w:val="420"/>
          <w:jc w:val="center"/>
        </w:trPr>
        <w:tc>
          <w:tcPr>
            <w:tcW w:w="1980" w:type="dxa"/>
            <w:tcBorders>
              <w:top w:val="single" w:sz="4" w:space="0" w:color="DA9694"/>
              <w:left w:val="single" w:sz="4" w:space="0" w:color="DA9694"/>
              <w:bottom w:val="single" w:sz="4" w:space="0" w:color="DA9694"/>
              <w:right w:val="nil"/>
            </w:tcBorders>
            <w:shd w:val="clear" w:color="000000" w:fill="F2DBDB"/>
            <w:vAlign w:val="center"/>
            <w:hideMark/>
          </w:tcPr>
          <w:p w14:paraId="14D7D300"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Cifras Cobradas</w:t>
            </w:r>
          </w:p>
        </w:tc>
        <w:tc>
          <w:tcPr>
            <w:tcW w:w="1980" w:type="dxa"/>
            <w:tcBorders>
              <w:top w:val="single" w:sz="4" w:space="0" w:color="DA9694"/>
              <w:left w:val="nil"/>
              <w:bottom w:val="single" w:sz="4" w:space="0" w:color="DA9694"/>
              <w:right w:val="nil"/>
            </w:tcBorders>
            <w:shd w:val="clear" w:color="000000" w:fill="F2DBDB"/>
            <w:vAlign w:val="center"/>
            <w:hideMark/>
          </w:tcPr>
          <w:p w14:paraId="36C65887"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$180,000</w:t>
            </w:r>
          </w:p>
        </w:tc>
        <w:tc>
          <w:tcPr>
            <w:tcW w:w="2880" w:type="dxa"/>
            <w:tcBorders>
              <w:top w:val="single" w:sz="4" w:space="0" w:color="DA9694"/>
              <w:left w:val="nil"/>
              <w:bottom w:val="single" w:sz="4" w:space="0" w:color="DA9694"/>
              <w:right w:val="nil"/>
            </w:tcBorders>
            <w:shd w:val="clear" w:color="000000" w:fill="F2DBDB"/>
            <w:vAlign w:val="center"/>
            <w:hideMark/>
          </w:tcPr>
          <w:p w14:paraId="723F0F5A"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$275,617</w:t>
            </w:r>
          </w:p>
        </w:tc>
        <w:tc>
          <w:tcPr>
            <w:tcW w:w="1980" w:type="dxa"/>
            <w:tcBorders>
              <w:top w:val="single" w:sz="4" w:space="0" w:color="DA9694"/>
              <w:left w:val="nil"/>
              <w:bottom w:val="single" w:sz="4" w:space="0" w:color="DA9694"/>
              <w:right w:val="single" w:sz="4" w:space="0" w:color="DA9694"/>
            </w:tcBorders>
            <w:shd w:val="clear" w:color="000000" w:fill="F2DBDB"/>
            <w:vAlign w:val="center"/>
            <w:hideMark/>
          </w:tcPr>
          <w:p w14:paraId="783CE781"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153.12%</w:t>
            </w:r>
          </w:p>
        </w:tc>
      </w:tr>
      <w:tr w:rsidR="004F2FA8" w:rsidRPr="00AE36F0" w14:paraId="29AF3277" w14:textId="77777777" w:rsidTr="004B75E1">
        <w:trPr>
          <w:trHeight w:val="420"/>
          <w:jc w:val="center"/>
        </w:trPr>
        <w:tc>
          <w:tcPr>
            <w:tcW w:w="1980" w:type="dxa"/>
            <w:tcBorders>
              <w:top w:val="single" w:sz="4" w:space="0" w:color="DA9694"/>
              <w:left w:val="single" w:sz="4" w:space="0" w:color="DA9694"/>
              <w:bottom w:val="single" w:sz="4" w:space="0" w:color="DA9694"/>
              <w:right w:val="nil"/>
            </w:tcBorders>
            <w:vAlign w:val="center"/>
            <w:hideMark/>
          </w:tcPr>
          <w:p w14:paraId="769842A6"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Cifras Virtuales</w:t>
            </w:r>
          </w:p>
        </w:tc>
        <w:tc>
          <w:tcPr>
            <w:tcW w:w="1980" w:type="dxa"/>
            <w:tcBorders>
              <w:top w:val="single" w:sz="4" w:space="0" w:color="DA9694"/>
              <w:left w:val="nil"/>
              <w:bottom w:val="single" w:sz="4" w:space="0" w:color="DA9694"/>
              <w:right w:val="nil"/>
            </w:tcBorders>
            <w:vAlign w:val="center"/>
            <w:hideMark/>
          </w:tcPr>
          <w:p w14:paraId="4A41CE25"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$69,000</w:t>
            </w:r>
          </w:p>
        </w:tc>
        <w:tc>
          <w:tcPr>
            <w:tcW w:w="2880" w:type="dxa"/>
            <w:tcBorders>
              <w:top w:val="single" w:sz="4" w:space="0" w:color="DA9694"/>
              <w:left w:val="nil"/>
              <w:bottom w:val="single" w:sz="4" w:space="0" w:color="DA9694"/>
              <w:right w:val="nil"/>
            </w:tcBorders>
            <w:vAlign w:val="center"/>
            <w:hideMark/>
          </w:tcPr>
          <w:p w14:paraId="598E3463"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$147,547</w:t>
            </w:r>
          </w:p>
        </w:tc>
        <w:tc>
          <w:tcPr>
            <w:tcW w:w="1980" w:type="dxa"/>
            <w:tcBorders>
              <w:top w:val="single" w:sz="4" w:space="0" w:color="DA9694"/>
              <w:left w:val="nil"/>
              <w:bottom w:val="single" w:sz="4" w:space="0" w:color="DA9694"/>
              <w:right w:val="single" w:sz="4" w:space="0" w:color="DA9694"/>
            </w:tcBorders>
            <w:vAlign w:val="center"/>
            <w:hideMark/>
          </w:tcPr>
          <w:p w14:paraId="3F7C96BA"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213.83%</w:t>
            </w:r>
          </w:p>
        </w:tc>
      </w:tr>
    </w:tbl>
    <w:p w14:paraId="1623A60C" w14:textId="04D8326B"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lastRenderedPageBreak/>
        <w:t>IMPUESTOS ESTATALES</w:t>
      </w:r>
    </w:p>
    <w:p w14:paraId="5D0BE109" w14:textId="77777777" w:rsidR="00283AB9" w:rsidRPr="00AE36F0" w:rsidRDefault="00283AB9" w:rsidP="004F2FA8">
      <w:pPr>
        <w:jc w:val="both"/>
        <w:rPr>
          <w:rFonts w:ascii="Montserrat" w:hAnsi="Montserrat" w:cs="Arial"/>
          <w:b/>
          <w:kern w:val="2"/>
          <w:lang w:eastAsia="en-US"/>
        </w:rPr>
      </w:pPr>
    </w:p>
    <w:p w14:paraId="252C6D07" w14:textId="29813646"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ACTOS DE FISCALIZACIÓN</w:t>
      </w:r>
    </w:p>
    <w:p w14:paraId="345F60F6" w14:textId="77777777" w:rsidR="004F2FA8" w:rsidRPr="00AE36F0" w:rsidRDefault="004F2FA8" w:rsidP="004F2FA8">
      <w:pPr>
        <w:jc w:val="both"/>
        <w:rPr>
          <w:rFonts w:ascii="Montserrat" w:hAnsi="Montserrat" w:cs="Arial"/>
          <w:b/>
          <w:kern w:val="2"/>
          <w:lang w:eastAsia="en-US"/>
        </w:rPr>
      </w:pPr>
    </w:p>
    <w:p w14:paraId="064CFB37" w14:textId="0B072E73" w:rsidR="004F2FA8" w:rsidRDefault="00BB7979" w:rsidP="00BB7979">
      <w:pPr>
        <w:ind w:left="426"/>
        <w:jc w:val="both"/>
        <w:rPr>
          <w:rFonts w:ascii="Montserrat" w:hAnsi="Montserrat" w:cs="Arial"/>
        </w:rPr>
      </w:pPr>
      <w:r w:rsidRPr="00BB7979">
        <w:rPr>
          <w:rFonts w:ascii="Montserrat" w:hAnsi="Montserrat" w:cs="Arial"/>
        </w:rPr>
        <w:t>Derivado de las atribuciones a cargo de la Secretaría de Finanzas, relacionadas con la verificación del cumplimiento de las obligaciones fiscales de los contribuyentes, al cuarto trimestre de 2025, se realizaron 280 acciones de fiscalización, buscando con ello incrementar la percepción de riesgo en los contribuyentes incumplidos, así como el fortalecimiento de las finanzas públicas motivado por el correcto pago de las contribuciones; cabe señalar que de acuerdo a la concertación del Programa Operativo Anual 2025 de impuestos estatales, se tiene una meta anual de 219 actos, lográndose al  cuarto trimestre un avance del 127.85 % respecto a dicha meta.</w:t>
      </w:r>
    </w:p>
    <w:p w14:paraId="3D48553D" w14:textId="77777777" w:rsidR="00BB7979" w:rsidRPr="00BB7979" w:rsidRDefault="00BB7979" w:rsidP="00BB7979">
      <w:pPr>
        <w:ind w:left="426"/>
        <w:jc w:val="both"/>
        <w:rPr>
          <w:rFonts w:ascii="Montserrat" w:hAnsi="Montserrat" w:cs="Arial"/>
        </w:rPr>
      </w:pPr>
    </w:p>
    <w:p w14:paraId="18B62BE5" w14:textId="5A224F8E" w:rsidR="004F2FA8" w:rsidRPr="00AE36F0" w:rsidRDefault="00283AB9" w:rsidP="00283AB9">
      <w:pPr>
        <w:jc w:val="center"/>
        <w:rPr>
          <w:rFonts w:ascii="Montserrat" w:hAnsi="Montserrat" w:cs="Arial"/>
          <w:b/>
          <w:kern w:val="2"/>
          <w:lang w:eastAsia="en-US"/>
        </w:rPr>
      </w:pPr>
      <w:r w:rsidRPr="00AE36F0">
        <w:rPr>
          <w:rFonts w:ascii="Montserrat" w:hAnsi="Montserrat"/>
          <w:noProof/>
        </w:rPr>
        <w:drawing>
          <wp:inline distT="0" distB="0" distL="0" distR="0" wp14:anchorId="1E8EFEFF" wp14:editId="391C9BC1">
            <wp:extent cx="4105275" cy="1819275"/>
            <wp:effectExtent l="0" t="0" r="9525" b="9525"/>
            <wp:docPr id="228738301" name="Gráfico 1">
              <a:extLst xmlns:a="http://schemas.openxmlformats.org/drawingml/2006/main">
                <a:ext uri="{FF2B5EF4-FFF2-40B4-BE49-F238E27FC236}">
                  <a16:creationId xmlns:a16="http://schemas.microsoft.com/office/drawing/2014/main" id="{EB5D911D-C437-E935-2B8B-0302A9B70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EC48CE" w14:textId="77777777" w:rsidR="00350CC4" w:rsidRPr="00AE36F0" w:rsidRDefault="00350CC4" w:rsidP="004F2FA8">
      <w:pPr>
        <w:jc w:val="both"/>
        <w:rPr>
          <w:rFonts w:ascii="Montserrat" w:hAnsi="Montserrat" w:cs="Arial"/>
          <w:b/>
          <w:kern w:val="2"/>
          <w:lang w:eastAsia="en-US"/>
        </w:rPr>
      </w:pPr>
    </w:p>
    <w:p w14:paraId="079AEED1" w14:textId="77777777" w:rsidR="00350CC4" w:rsidRPr="00AE36F0" w:rsidRDefault="00350CC4" w:rsidP="004F2FA8">
      <w:pPr>
        <w:jc w:val="both"/>
        <w:rPr>
          <w:rFonts w:ascii="Montserrat" w:hAnsi="Montserrat" w:cs="Arial"/>
          <w:b/>
          <w:kern w:val="2"/>
          <w:lang w:eastAsia="en-US"/>
        </w:rPr>
      </w:pPr>
    </w:p>
    <w:p w14:paraId="76389FA9" w14:textId="7EB1D73B"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CIFRAS COBRADAS PROGRAMA OPERATIVO ANUAL ESTATAL</w:t>
      </w:r>
    </w:p>
    <w:p w14:paraId="75521F49" w14:textId="77777777" w:rsidR="004F2FA8" w:rsidRPr="00AE36F0" w:rsidRDefault="004F2FA8" w:rsidP="004F2FA8">
      <w:pPr>
        <w:jc w:val="both"/>
        <w:rPr>
          <w:rFonts w:ascii="Montserrat" w:hAnsi="Montserrat" w:cs="Arial"/>
          <w:b/>
          <w:kern w:val="2"/>
          <w:lang w:eastAsia="en-US"/>
        </w:rPr>
      </w:pPr>
    </w:p>
    <w:p w14:paraId="6A872E53" w14:textId="77777777" w:rsidR="004F2FA8" w:rsidRPr="00AE36F0" w:rsidRDefault="004F2FA8" w:rsidP="004F2FA8">
      <w:pPr>
        <w:ind w:left="426"/>
        <w:jc w:val="both"/>
        <w:rPr>
          <w:rFonts w:ascii="Montserrat" w:hAnsi="Montserrat" w:cs="Arial"/>
        </w:rPr>
      </w:pPr>
      <w:r w:rsidRPr="00AE36F0">
        <w:rPr>
          <w:rFonts w:ascii="Montserrat" w:hAnsi="Montserrat" w:cs="Arial"/>
        </w:rPr>
        <w:t xml:space="preserve">A través del Programa Operativo Anual, se concertó una meta recaudatoria para el ejercicio 2025, obteniéndose al mes de diciembre los siguientes resultados: </w:t>
      </w:r>
    </w:p>
    <w:p w14:paraId="49491307" w14:textId="77777777" w:rsidR="00350CC4" w:rsidRPr="00AE36F0" w:rsidRDefault="00350CC4" w:rsidP="004F2FA8">
      <w:pPr>
        <w:ind w:left="426"/>
        <w:jc w:val="both"/>
        <w:rPr>
          <w:rFonts w:ascii="Montserrat" w:hAnsi="Montserrat" w:cs="Arial"/>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4F2FA8" w:rsidRPr="00AE36F0" w14:paraId="04E864C8" w14:textId="77777777" w:rsidTr="004B75E1">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6C8362B4" w14:textId="77777777" w:rsidR="004F2FA8" w:rsidRPr="00AE36F0" w:rsidRDefault="004F2FA8" w:rsidP="004B75E1">
            <w:pPr>
              <w:jc w:val="both"/>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076E78B3"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34190E52"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 xml:space="preserve">RECAUDADO          </w:t>
            </w:r>
            <w:r w:rsidRPr="00AE36F0">
              <w:rPr>
                <w:rFonts w:ascii="Montserrat" w:hAnsi="Montserrat" w:cs="Arial"/>
                <w:b/>
                <w:bCs/>
                <w:color w:val="FFFFFF"/>
                <w:sz w:val="18"/>
                <w:szCs w:val="18"/>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40472878" w14:textId="77777777" w:rsidR="004F2FA8" w:rsidRPr="00AE36F0" w:rsidRDefault="004F2FA8" w:rsidP="004B75E1">
            <w:pPr>
              <w:jc w:val="center"/>
              <w:rPr>
                <w:rFonts w:ascii="Montserrat" w:hAnsi="Montserrat" w:cs="Arial"/>
                <w:b/>
                <w:bCs/>
                <w:color w:val="FFFFFF"/>
                <w:sz w:val="18"/>
                <w:szCs w:val="18"/>
                <w:lang w:val="es-MX"/>
              </w:rPr>
            </w:pPr>
            <w:r w:rsidRPr="00AE36F0">
              <w:rPr>
                <w:rFonts w:ascii="Montserrat" w:hAnsi="Montserrat" w:cs="Arial"/>
                <w:b/>
                <w:bCs/>
                <w:color w:val="FFFFFF"/>
                <w:sz w:val="18"/>
                <w:szCs w:val="18"/>
                <w:lang w:val="es-MX"/>
              </w:rPr>
              <w:t>AVANCE</w:t>
            </w:r>
          </w:p>
        </w:tc>
      </w:tr>
      <w:tr w:rsidR="004F2FA8" w:rsidRPr="00AE36F0" w14:paraId="74AF95AB" w14:textId="77777777" w:rsidTr="004B75E1">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626EF052" w14:textId="77777777" w:rsidR="004F2FA8" w:rsidRPr="00AE36F0" w:rsidRDefault="004F2FA8" w:rsidP="004B75E1">
            <w:pPr>
              <w:jc w:val="both"/>
              <w:rPr>
                <w:rFonts w:ascii="Montserrat" w:hAnsi="Montserrat" w:cs="Arial"/>
                <w:color w:val="000000"/>
                <w:sz w:val="18"/>
                <w:szCs w:val="18"/>
                <w:lang w:val="es-MX"/>
              </w:rPr>
            </w:pPr>
            <w:r w:rsidRPr="00AE36F0">
              <w:rPr>
                <w:rFonts w:ascii="Montserrat" w:hAnsi="Montserrat" w:cs="Arial"/>
                <w:color w:val="000000"/>
                <w:sz w:val="18"/>
                <w:szCs w:val="18"/>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5506654F"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$25,000</w:t>
            </w:r>
          </w:p>
        </w:tc>
        <w:tc>
          <w:tcPr>
            <w:tcW w:w="2740" w:type="dxa"/>
            <w:tcBorders>
              <w:top w:val="single" w:sz="4" w:space="0" w:color="DA9694"/>
              <w:left w:val="nil"/>
              <w:bottom w:val="single" w:sz="4" w:space="0" w:color="DA9694"/>
              <w:right w:val="nil"/>
            </w:tcBorders>
            <w:shd w:val="clear" w:color="000000" w:fill="F2DBDB"/>
            <w:vAlign w:val="center"/>
            <w:hideMark/>
          </w:tcPr>
          <w:p w14:paraId="71697AA3" w14:textId="77777777" w:rsidR="004F2FA8" w:rsidRPr="00AE36F0" w:rsidRDefault="004F2FA8" w:rsidP="004B75E1">
            <w:pPr>
              <w:jc w:val="center"/>
              <w:rPr>
                <w:rFonts w:ascii="Montserrat" w:hAnsi="Montserrat" w:cs="Arial"/>
                <w:color w:val="000000"/>
                <w:sz w:val="18"/>
                <w:szCs w:val="18"/>
                <w:lang w:val="es-MX"/>
              </w:rPr>
            </w:pPr>
            <w:r w:rsidRPr="00AE36F0">
              <w:rPr>
                <w:rFonts w:ascii="Montserrat" w:hAnsi="Montserrat" w:cs="Arial"/>
                <w:color w:val="000000"/>
                <w:sz w:val="18"/>
                <w:szCs w:val="18"/>
                <w:lang w:val="es-MX"/>
              </w:rPr>
              <w:t>$ 83,907</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7692B17A" w14:textId="77777777" w:rsidR="004F2FA8" w:rsidRPr="00AE36F0" w:rsidRDefault="004F2FA8" w:rsidP="004B75E1">
            <w:pPr>
              <w:spacing w:line="360" w:lineRule="auto"/>
              <w:jc w:val="center"/>
              <w:rPr>
                <w:rFonts w:ascii="Montserrat" w:hAnsi="Montserrat" w:cs="Arial"/>
                <w:color w:val="000000"/>
                <w:sz w:val="18"/>
                <w:szCs w:val="18"/>
                <w:lang w:val="es-MX"/>
              </w:rPr>
            </w:pPr>
            <w:r w:rsidRPr="00AE36F0">
              <w:rPr>
                <w:rFonts w:ascii="Montserrat" w:hAnsi="Montserrat" w:cs="Arial"/>
                <w:color w:val="000000"/>
                <w:sz w:val="18"/>
                <w:szCs w:val="18"/>
                <w:lang w:val="es-MX"/>
              </w:rPr>
              <w:t>335.62 %</w:t>
            </w:r>
          </w:p>
        </w:tc>
      </w:tr>
    </w:tbl>
    <w:p w14:paraId="5A97469E" w14:textId="77777777"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lastRenderedPageBreak/>
        <w:t xml:space="preserve"> </w:t>
      </w:r>
    </w:p>
    <w:p w14:paraId="787D147B" w14:textId="7C812006"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CIFRAS COBRADAS PARA AVANCE DE LEY DE INGRESOS</w:t>
      </w:r>
    </w:p>
    <w:p w14:paraId="7187A0E7" w14:textId="77777777" w:rsidR="004F2FA8" w:rsidRPr="00AE36F0" w:rsidRDefault="004F2FA8" w:rsidP="004F2FA8">
      <w:pPr>
        <w:jc w:val="both"/>
        <w:rPr>
          <w:rFonts w:ascii="Montserrat" w:hAnsi="Montserrat" w:cs="Arial"/>
          <w:b/>
          <w:kern w:val="2"/>
          <w:lang w:eastAsia="en-US"/>
        </w:rPr>
      </w:pPr>
    </w:p>
    <w:p w14:paraId="7B349F3F" w14:textId="77777777" w:rsidR="004F2FA8" w:rsidRPr="00AE36F0" w:rsidRDefault="004F2FA8" w:rsidP="00283AB9">
      <w:pPr>
        <w:ind w:left="426"/>
        <w:jc w:val="both"/>
        <w:rPr>
          <w:rFonts w:ascii="Montserrat" w:hAnsi="Montserrat" w:cs="Arial"/>
        </w:rPr>
      </w:pPr>
      <w:r w:rsidRPr="00AE36F0">
        <w:rPr>
          <w:rFonts w:ascii="Montserrat" w:hAnsi="Montserrat" w:cs="Arial"/>
        </w:rPr>
        <w:t>Como resultado de la actividad fiscalizadora, al cuarto trimestre de 2025 la Dirección de Auditoría e Inspección Fiscal tramitó el pago de incentivos económicos ante la Unidad de Coordinación con Entidades Federativas (UCEF) en cantidad de 148 millones 635 mil 216 pesos, asimismo se recuperó cifras cobradas que derivan de actos de fiscalización en materia federal que fueron  pagados por los contribuyentes directamente al Estado en cantidad de 83 millones 767 mil 204 pesos, obteniéndose una recaudación total por actos de fiscalización en cantidad de 232 millones 402 mil 420 pesos. Por otra parte, la recaudación lograda de Impuestos Estatales fue de 83 millones 907 mil 982 pesos, en este sentido, se obtuvo un total de ingresos de 316 millones 310 mil 402 pesos, con los cuales se contribuye a sufragar el gasto público.</w:t>
      </w:r>
    </w:p>
    <w:p w14:paraId="2CCE324B" w14:textId="77777777" w:rsidR="004F2FA8" w:rsidRPr="00AE36F0" w:rsidRDefault="004F2FA8" w:rsidP="004F2FA8">
      <w:pPr>
        <w:jc w:val="both"/>
        <w:rPr>
          <w:rFonts w:ascii="Montserrat" w:hAnsi="Montserrat" w:cs="Arial"/>
          <w:b/>
          <w:kern w:val="2"/>
          <w:lang w:eastAsia="en-US"/>
        </w:rPr>
      </w:pPr>
    </w:p>
    <w:p w14:paraId="7D6C2B34" w14:textId="46A83F5B" w:rsidR="004F2FA8" w:rsidRPr="00AE36F0" w:rsidRDefault="00283AB9" w:rsidP="004F2FA8">
      <w:pPr>
        <w:jc w:val="both"/>
        <w:rPr>
          <w:rFonts w:ascii="Montserrat" w:hAnsi="Montserrat" w:cs="Arial"/>
          <w:b/>
          <w:kern w:val="2"/>
          <w:lang w:eastAsia="en-US"/>
        </w:rPr>
      </w:pPr>
      <w:r w:rsidRPr="00AE36F0">
        <w:rPr>
          <w:rFonts w:ascii="Montserrat" w:hAnsi="Montserrat" w:cs="Arial"/>
          <w:noProof/>
          <w:color w:val="000000"/>
        </w:rPr>
        <w:drawing>
          <wp:inline distT="0" distB="0" distL="0" distR="0" wp14:anchorId="3F936FB5" wp14:editId="163150F1">
            <wp:extent cx="5295900" cy="3445609"/>
            <wp:effectExtent l="0" t="0" r="0" b="2540"/>
            <wp:docPr id="9470732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8914" cy="3454076"/>
                    </a:xfrm>
                    <a:prstGeom prst="rect">
                      <a:avLst/>
                    </a:prstGeom>
                    <a:noFill/>
                  </pic:spPr>
                </pic:pic>
              </a:graphicData>
            </a:graphic>
          </wp:inline>
        </w:drawing>
      </w:r>
    </w:p>
    <w:p w14:paraId="39C2606E" w14:textId="77777777" w:rsidR="004F2FA8" w:rsidRPr="00AE36F0" w:rsidRDefault="004F2FA8" w:rsidP="004F2FA8">
      <w:pPr>
        <w:jc w:val="both"/>
        <w:rPr>
          <w:rFonts w:ascii="Montserrat" w:hAnsi="Montserrat" w:cs="Arial"/>
          <w:b/>
          <w:kern w:val="2"/>
          <w:lang w:eastAsia="en-US"/>
        </w:rPr>
      </w:pPr>
      <w:r w:rsidRPr="00AE36F0">
        <w:rPr>
          <w:rFonts w:ascii="Montserrat" w:hAnsi="Montserrat" w:cs="Arial"/>
          <w:b/>
          <w:kern w:val="2"/>
          <w:lang w:eastAsia="en-US"/>
        </w:rPr>
        <w:t xml:space="preserve"> </w:t>
      </w:r>
    </w:p>
    <w:p w14:paraId="7838361C" w14:textId="70FA1D39" w:rsidR="00B0059B" w:rsidRPr="00AE36F0" w:rsidRDefault="00B0059B" w:rsidP="004F2FA8">
      <w:pPr>
        <w:jc w:val="both"/>
        <w:rPr>
          <w:rFonts w:ascii="Montserrat" w:hAnsi="Montserrat"/>
          <w:b/>
        </w:rPr>
      </w:pPr>
      <w:r w:rsidRPr="00AE36F0">
        <w:rPr>
          <w:rFonts w:ascii="Montserrat" w:hAnsi="Montserrat"/>
          <w:b/>
        </w:rPr>
        <w:lastRenderedPageBreak/>
        <w:t>Información sobre la Deuda y el Reporte Analítico de la Deuda</w:t>
      </w:r>
    </w:p>
    <w:p w14:paraId="603F19BE" w14:textId="77777777" w:rsidR="0038477A" w:rsidRPr="00AE36F0" w:rsidRDefault="0038477A" w:rsidP="00350CC4">
      <w:pPr>
        <w:jc w:val="both"/>
        <w:rPr>
          <w:rFonts w:ascii="Montserrat" w:hAnsi="Montserrat" w:cs="Arial"/>
          <w:b/>
          <w:bCs/>
        </w:rPr>
      </w:pPr>
      <w:r w:rsidRPr="00AE36F0">
        <w:rPr>
          <w:rFonts w:ascii="Montserrat" w:hAnsi="Montserrat" w:cs="Arial"/>
          <w:b/>
          <w:bCs/>
        </w:rPr>
        <w:t>Política de Deuda Pública</w:t>
      </w:r>
    </w:p>
    <w:p w14:paraId="6FCB8143" w14:textId="77777777" w:rsidR="0038477A" w:rsidRPr="00AE36F0" w:rsidRDefault="0038477A" w:rsidP="0038477A">
      <w:pPr>
        <w:ind w:left="360"/>
        <w:jc w:val="both"/>
        <w:rPr>
          <w:rFonts w:ascii="Montserrat" w:hAnsi="Montserrat" w:cs="Arial"/>
        </w:rPr>
      </w:pPr>
    </w:p>
    <w:p w14:paraId="1DB779C1" w14:textId="77777777" w:rsidR="00C86D92" w:rsidRPr="00AE36F0" w:rsidRDefault="00C86D92" w:rsidP="00C47B70">
      <w:pPr>
        <w:jc w:val="both"/>
        <w:rPr>
          <w:rFonts w:ascii="Montserrat" w:hAnsi="Montserrat" w:cs="Arial"/>
        </w:rPr>
      </w:pPr>
      <w:r w:rsidRPr="00AE36F0">
        <w:rPr>
          <w:rFonts w:ascii="Montserrat" w:hAnsi="Montserrat" w:cs="Arial"/>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22C69C92" w14:textId="77777777" w:rsidR="00C86D92" w:rsidRPr="00AE36F0" w:rsidRDefault="00C86D92" w:rsidP="00C47B70">
      <w:pPr>
        <w:jc w:val="both"/>
        <w:rPr>
          <w:rFonts w:ascii="Montserrat" w:hAnsi="Montserrat" w:cs="Arial"/>
        </w:rPr>
      </w:pPr>
    </w:p>
    <w:p w14:paraId="53D8781B" w14:textId="77777777" w:rsidR="00C86D92" w:rsidRPr="00AE36F0" w:rsidRDefault="00C86D92" w:rsidP="00C47B70">
      <w:pPr>
        <w:jc w:val="both"/>
        <w:rPr>
          <w:rFonts w:ascii="Montserrat" w:hAnsi="Montserrat" w:cs="Arial"/>
        </w:rPr>
      </w:pPr>
      <w:r w:rsidRPr="00AE36F0">
        <w:rPr>
          <w:rFonts w:ascii="Montserrat" w:hAnsi="Montserrat" w:cs="Arial"/>
        </w:rPr>
        <w:t>Como resultado de estas medidas, durante el presente ejercicio fiscal no se contrató deuda pública de largo plazo, ni créditos a corto plazo y se cumple oportunamente con las obligaciones contractuales vigentes.</w:t>
      </w:r>
    </w:p>
    <w:p w14:paraId="215C0964" w14:textId="77777777" w:rsidR="00C86D92" w:rsidRPr="00AE36F0" w:rsidRDefault="00C86D92" w:rsidP="00C86D92">
      <w:pPr>
        <w:ind w:left="360"/>
        <w:jc w:val="both"/>
        <w:rPr>
          <w:rFonts w:ascii="Montserrat" w:hAnsi="Montserrat" w:cs="Arial"/>
        </w:rPr>
      </w:pPr>
    </w:p>
    <w:p w14:paraId="37C2A4FF" w14:textId="55B8CB99" w:rsidR="00C47B70" w:rsidRPr="00AE36F0" w:rsidRDefault="00C47B70" w:rsidP="00C47B70">
      <w:pPr>
        <w:pStyle w:val="Prrafodelista"/>
        <w:ind w:left="0"/>
        <w:jc w:val="both"/>
        <w:rPr>
          <w:rFonts w:ascii="Montserrat" w:hAnsi="Montserrat" w:cs="Arial"/>
          <w:b/>
          <w:bCs/>
          <w:sz w:val="24"/>
          <w:szCs w:val="24"/>
        </w:rPr>
      </w:pPr>
      <w:r w:rsidRPr="00AE36F0">
        <w:rPr>
          <w:rFonts w:ascii="Montserrat" w:hAnsi="Montserrat" w:cs="Arial"/>
          <w:b/>
          <w:bCs/>
          <w:sz w:val="24"/>
          <w:szCs w:val="24"/>
        </w:rPr>
        <w:t>DEUDA PÚBLICA Y OBLIGACIONES DE PAGO ESTATAL</w:t>
      </w:r>
    </w:p>
    <w:p w14:paraId="41409F62" w14:textId="77777777" w:rsidR="00C47B70" w:rsidRPr="00AE36F0" w:rsidRDefault="00C47B70" w:rsidP="00C47B70">
      <w:pPr>
        <w:pStyle w:val="Prrafodelista"/>
        <w:ind w:left="0"/>
        <w:jc w:val="both"/>
        <w:rPr>
          <w:rFonts w:ascii="Montserrat" w:hAnsi="Montserrat" w:cs="Arial"/>
          <w:b/>
          <w:bCs/>
          <w:sz w:val="24"/>
          <w:szCs w:val="24"/>
        </w:rPr>
      </w:pPr>
    </w:p>
    <w:p w14:paraId="672F36C9" w14:textId="77777777" w:rsidR="00C47B70" w:rsidRPr="00AE36F0" w:rsidRDefault="00C47B70" w:rsidP="00CC16AE">
      <w:pPr>
        <w:jc w:val="both"/>
        <w:rPr>
          <w:rFonts w:ascii="Montserrat" w:hAnsi="Montserrat" w:cs="Arial"/>
        </w:rPr>
      </w:pPr>
      <w:r w:rsidRPr="00AE36F0">
        <w:rPr>
          <w:rFonts w:ascii="Montserrat" w:hAnsi="Montserrat" w:cs="Arial"/>
        </w:rPr>
        <w:t>La Ley de Deuda Pública del Estado de Oaxaca establece dos tipos de Financiamientos: los que se consideran como un Pasivo Directo y las Obligaciones de Pago que no representan un pasivo directo al Estado, sin embargo, existe el compromiso de pago.</w:t>
      </w:r>
    </w:p>
    <w:p w14:paraId="1955A21A" w14:textId="77777777" w:rsidR="00C47B70" w:rsidRPr="00AE36F0" w:rsidRDefault="00C47B70" w:rsidP="00CC16AE">
      <w:pPr>
        <w:jc w:val="both"/>
        <w:rPr>
          <w:rFonts w:ascii="Montserrat" w:hAnsi="Montserrat" w:cs="Arial"/>
        </w:rPr>
      </w:pPr>
    </w:p>
    <w:p w14:paraId="05387433" w14:textId="77777777" w:rsidR="00C47B70" w:rsidRPr="00AE36F0" w:rsidRDefault="00C47B70" w:rsidP="00C47B70">
      <w:pPr>
        <w:jc w:val="both"/>
        <w:rPr>
          <w:rFonts w:ascii="Montserrat" w:hAnsi="Montserrat" w:cs="Arial"/>
        </w:rPr>
      </w:pPr>
      <w:r w:rsidRPr="00AE36F0">
        <w:rPr>
          <w:rFonts w:ascii="Montserrat" w:hAnsi="Montserrat" w:cs="Arial"/>
        </w:rPr>
        <w:t>El Estado cuenta con 12 financiamientos vigentes: 10 créditos a largo plazo, considerados como pasivos directos y 2 créditos Bono Cupón Cero, conocidos como Obligaciones de Pago, con las principales características:</w:t>
      </w:r>
    </w:p>
    <w:p w14:paraId="26EAFAC8" w14:textId="77777777" w:rsidR="00CC16AE" w:rsidRPr="00AE36F0" w:rsidRDefault="00CC16AE" w:rsidP="00C47B70">
      <w:pPr>
        <w:jc w:val="both"/>
        <w:rPr>
          <w:rFonts w:ascii="Montserrat" w:hAnsi="Montserrat" w:cs="Arial"/>
        </w:rPr>
      </w:pPr>
    </w:p>
    <w:p w14:paraId="61CE7735" w14:textId="77777777" w:rsidR="00C47B70" w:rsidRPr="00AE36F0" w:rsidRDefault="00C47B70" w:rsidP="00C47B70">
      <w:pPr>
        <w:jc w:val="center"/>
        <w:rPr>
          <w:rFonts w:ascii="Montserrat" w:hAnsi="Montserrat" w:cs="Arial"/>
        </w:rPr>
      </w:pPr>
      <w:r w:rsidRPr="00AE36F0">
        <w:rPr>
          <w:rFonts w:ascii="Montserrat" w:hAnsi="Montserrat"/>
          <w:noProof/>
        </w:rPr>
        <w:lastRenderedPageBreak/>
        <w:drawing>
          <wp:inline distT="0" distB="0" distL="0" distR="0" wp14:anchorId="45678E18" wp14:editId="44CA9D1A">
            <wp:extent cx="5672568" cy="2941093"/>
            <wp:effectExtent l="19050" t="19050" r="23495" b="12065"/>
            <wp:docPr id="1800783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675" cy="2958258"/>
                    </a:xfrm>
                    <a:prstGeom prst="rect">
                      <a:avLst/>
                    </a:prstGeom>
                    <a:noFill/>
                    <a:ln>
                      <a:solidFill>
                        <a:schemeClr val="tx1"/>
                      </a:solidFill>
                    </a:ln>
                  </pic:spPr>
                </pic:pic>
              </a:graphicData>
            </a:graphic>
          </wp:inline>
        </w:drawing>
      </w:r>
    </w:p>
    <w:p w14:paraId="48C00C50" w14:textId="77777777" w:rsidR="00C47B70" w:rsidRPr="00AE36F0" w:rsidRDefault="00C47B70" w:rsidP="00C47B70">
      <w:pPr>
        <w:ind w:left="284"/>
        <w:mirrorIndents/>
        <w:jc w:val="both"/>
        <w:rPr>
          <w:rFonts w:ascii="Montserrat" w:hAnsi="Montserrat" w:cs="Arial"/>
          <w:bCs/>
          <w:sz w:val="13"/>
          <w:szCs w:val="13"/>
        </w:rPr>
      </w:pPr>
      <w:r w:rsidRPr="00AE36F0">
        <w:rPr>
          <w:rFonts w:ascii="Montserrat" w:hAnsi="Montserrat" w:cs="Arial"/>
          <w:bCs/>
          <w:sz w:val="13"/>
          <w:szCs w:val="13"/>
        </w:rPr>
        <w:tab/>
      </w:r>
      <w:r w:rsidRPr="00AE36F0">
        <w:rPr>
          <w:rFonts w:ascii="Montserrat" w:hAnsi="Montserrat" w:cs="Arial"/>
          <w:bCs/>
          <w:sz w:val="13"/>
          <w:szCs w:val="13"/>
        </w:rPr>
        <w:tab/>
      </w:r>
      <w:r w:rsidRPr="00AE36F0">
        <w:rPr>
          <w:rFonts w:ascii="Montserrat" w:hAnsi="Montserrat" w:cs="Arial"/>
          <w:bCs/>
          <w:sz w:val="13"/>
          <w:szCs w:val="13"/>
        </w:rPr>
        <w:tab/>
      </w:r>
      <w:r w:rsidRPr="00AE36F0">
        <w:rPr>
          <w:rFonts w:ascii="Montserrat" w:hAnsi="Montserrat" w:cs="Arial"/>
          <w:bCs/>
          <w:sz w:val="14"/>
          <w:szCs w:val="14"/>
        </w:rPr>
        <w:tab/>
      </w:r>
    </w:p>
    <w:p w14:paraId="0AA52DA9" w14:textId="77777777" w:rsidR="00C47B70" w:rsidRPr="00AE36F0" w:rsidRDefault="00C47B70" w:rsidP="00EE5AE9">
      <w:pPr>
        <w:jc w:val="both"/>
        <w:rPr>
          <w:rFonts w:ascii="Montserrat" w:hAnsi="Montserrat" w:cs="Arial"/>
          <w:bCs/>
          <w:sz w:val="13"/>
          <w:szCs w:val="13"/>
        </w:rPr>
      </w:pPr>
      <w:r w:rsidRPr="00AE36F0">
        <w:rPr>
          <w:rFonts w:ascii="Montserrat" w:hAnsi="Montserrat" w:cs="Arial"/>
          <w:bCs/>
          <w:sz w:val="13"/>
          <w:szCs w:val="13"/>
        </w:rPr>
        <w:t>1/ En términos de la Cláusula Décima Tercera numeral 13.1 del contrato de crédito, el 28 de noviembre de 2022 Banobras activó la aceleración parcial del Crédito.</w:t>
      </w:r>
    </w:p>
    <w:p w14:paraId="7DD562A4" w14:textId="77777777" w:rsidR="00C47B70" w:rsidRPr="00AE36F0" w:rsidRDefault="00C47B70" w:rsidP="00EE5AE9">
      <w:pPr>
        <w:jc w:val="both"/>
        <w:rPr>
          <w:rFonts w:ascii="Montserrat" w:hAnsi="Montserrat" w:cs="Arial"/>
          <w:bCs/>
          <w:sz w:val="13"/>
          <w:szCs w:val="13"/>
        </w:rPr>
      </w:pPr>
      <w:r w:rsidRPr="00AE36F0">
        <w:rPr>
          <w:rFonts w:ascii="Montserrat" w:hAnsi="Montserrat" w:cs="Arial"/>
          <w:bCs/>
          <w:sz w:val="13"/>
          <w:szCs w:val="13"/>
        </w:rPr>
        <w:t>2/ El Estado solamente pagará intereses, el principal será cubierto con bonos cupón cero, que serán adquiridos por un Fideicomiso, con cargo al patrimonio del mismo; constituido por el gobierno federal por conducto de la SHCP y Banobras.</w:t>
      </w:r>
    </w:p>
    <w:p w14:paraId="7E361AE5" w14:textId="77777777" w:rsidR="00C47B70" w:rsidRPr="00AE36F0" w:rsidRDefault="00C47B70" w:rsidP="00EE5AE9">
      <w:pPr>
        <w:jc w:val="both"/>
        <w:rPr>
          <w:rFonts w:ascii="Montserrat" w:hAnsi="Montserrat" w:cs="Arial"/>
          <w:bCs/>
          <w:sz w:val="13"/>
          <w:szCs w:val="13"/>
        </w:rPr>
      </w:pPr>
      <w:r w:rsidRPr="00AE36F0">
        <w:rPr>
          <w:rFonts w:ascii="Montserrat" w:hAnsi="Montserrat" w:cs="Arial"/>
          <w:bCs/>
          <w:sz w:val="13"/>
          <w:szCs w:val="13"/>
        </w:rPr>
        <w:t>3/ Se modificó a la baja la sobretasa en relación al período anterior al subir la calificación crediticia de los créditos en 2024: Banobras 363, de 0.40 a 0.39%; Banobras 2,000, de 0.35 a 0.34% y Santander 1000, de 0.29 a 0.288%.</w:t>
      </w:r>
    </w:p>
    <w:p w14:paraId="7CB2C3FD" w14:textId="77777777" w:rsidR="00C47B70" w:rsidRPr="00AE36F0" w:rsidRDefault="00C47B70" w:rsidP="00EE5AE9">
      <w:pPr>
        <w:jc w:val="both"/>
        <w:rPr>
          <w:rFonts w:ascii="Montserrat" w:hAnsi="Montserrat" w:cs="Arial"/>
          <w:bCs/>
          <w:sz w:val="13"/>
          <w:szCs w:val="13"/>
        </w:rPr>
      </w:pPr>
    </w:p>
    <w:p w14:paraId="3F3CC008" w14:textId="77777777" w:rsidR="00C47B70" w:rsidRPr="00AE36F0" w:rsidRDefault="00C47B70" w:rsidP="00EE5AE9">
      <w:pPr>
        <w:jc w:val="both"/>
        <w:rPr>
          <w:rFonts w:ascii="Montserrat" w:hAnsi="Montserrat" w:cs="Arial"/>
        </w:rPr>
      </w:pPr>
      <w:r w:rsidRPr="00AE36F0">
        <w:rPr>
          <w:rFonts w:ascii="Montserrat" w:hAnsi="Montserrat" w:cs="Arial"/>
        </w:rPr>
        <w:t>El saldo de la deuda pública directa al 31 de diciembre de 2025 asciende a 14 mil 691 millones 248 mil 488 pesos, la cual representa el 90.54% del total de la deuda pública y otras obligaciones de pago; los Créditos Bono Cupón Cero, en los que el Estado solamente paga intereses y el pago de capital está a cargo de la Federación, con un saldo de 1,534 millones 235 mil 126 pesos, representa el 9.46%.</w:t>
      </w:r>
    </w:p>
    <w:p w14:paraId="1979A8B5" w14:textId="77777777" w:rsidR="00CC16AE" w:rsidRPr="00AE36F0" w:rsidRDefault="00CC16AE" w:rsidP="00EE5AE9">
      <w:pPr>
        <w:jc w:val="both"/>
        <w:rPr>
          <w:rFonts w:ascii="Montserrat" w:hAnsi="Montserrat" w:cs="Arial"/>
        </w:rPr>
      </w:pPr>
    </w:p>
    <w:p w14:paraId="53D977FC" w14:textId="77777777" w:rsidR="00CC16AE" w:rsidRPr="00AE36F0" w:rsidRDefault="00CC16AE" w:rsidP="00CC16AE">
      <w:pPr>
        <w:pStyle w:val="Prrafodelista"/>
        <w:ind w:left="0"/>
        <w:jc w:val="both"/>
        <w:rPr>
          <w:rFonts w:ascii="Montserrat" w:hAnsi="Montserrat" w:cs="Arial"/>
          <w:b/>
          <w:bCs/>
        </w:rPr>
      </w:pPr>
      <w:r w:rsidRPr="00AE36F0">
        <w:rPr>
          <w:rFonts w:ascii="Montserrat" w:hAnsi="Montserrat" w:cs="Arial"/>
          <w:b/>
          <w:bCs/>
          <w:sz w:val="24"/>
          <w:szCs w:val="24"/>
        </w:rPr>
        <w:t>DEUDA PÚBLICA DIRECTA (Pasivo directo).</w:t>
      </w:r>
    </w:p>
    <w:p w14:paraId="58DCEDBD" w14:textId="77777777" w:rsidR="00CC16AE" w:rsidRPr="00AE36F0" w:rsidRDefault="00CC16AE" w:rsidP="00CC16AE">
      <w:pPr>
        <w:pStyle w:val="Prrafodelista"/>
        <w:ind w:left="0"/>
        <w:jc w:val="both"/>
        <w:rPr>
          <w:rFonts w:ascii="Montserrat" w:hAnsi="Montserrat" w:cs="Arial"/>
          <w:b/>
          <w:bCs/>
          <w:sz w:val="24"/>
          <w:szCs w:val="24"/>
        </w:rPr>
      </w:pPr>
    </w:p>
    <w:p w14:paraId="2E995AC8" w14:textId="77777777" w:rsidR="00CC16AE" w:rsidRPr="00AE36F0" w:rsidRDefault="00CC16AE" w:rsidP="00CC16AE">
      <w:pPr>
        <w:jc w:val="both"/>
        <w:rPr>
          <w:rFonts w:ascii="Montserrat" w:hAnsi="Montserrat" w:cs="Arial"/>
        </w:rPr>
      </w:pPr>
      <w:r w:rsidRPr="00AE36F0">
        <w:rPr>
          <w:rFonts w:ascii="Montserrat" w:hAnsi="Montserrat" w:cs="Arial"/>
        </w:rPr>
        <w:t>Son financiamientos contratados por el Estado, que representan un endeudamiento y que afectan la situación patrimonial del Estado.</w:t>
      </w:r>
    </w:p>
    <w:p w14:paraId="4C3C6C71" w14:textId="77777777" w:rsidR="00CC16AE" w:rsidRPr="00AE36F0" w:rsidRDefault="00CC16AE" w:rsidP="00CC16AE">
      <w:pPr>
        <w:jc w:val="both"/>
        <w:rPr>
          <w:rFonts w:ascii="Montserrat" w:hAnsi="Montserrat" w:cs="Arial"/>
        </w:rPr>
      </w:pPr>
    </w:p>
    <w:p w14:paraId="45191752" w14:textId="77777777" w:rsidR="00CC16AE" w:rsidRPr="00AE36F0" w:rsidRDefault="00CC16AE" w:rsidP="00CC16AE">
      <w:pPr>
        <w:jc w:val="both"/>
        <w:rPr>
          <w:rFonts w:ascii="Montserrat" w:hAnsi="Montserrat" w:cs="Arial"/>
        </w:rPr>
      </w:pPr>
      <w:r w:rsidRPr="00AE36F0">
        <w:rPr>
          <w:rFonts w:ascii="Montserrat" w:hAnsi="Montserrat" w:cs="Arial"/>
        </w:rPr>
        <w:t>El saldo de la deuda directa al cuarto trimestre de 2025 asciende a 14 mil 691 millones 248 mil 488 pesos, el cual representa un decremento real de 5.01 % respecto del saldo del mismo periodo de 2024.</w:t>
      </w:r>
    </w:p>
    <w:p w14:paraId="1C6B1A37" w14:textId="77777777" w:rsidR="00CC16AE" w:rsidRPr="00AE36F0" w:rsidRDefault="00CC16AE" w:rsidP="00EE5AE9">
      <w:pPr>
        <w:jc w:val="both"/>
        <w:rPr>
          <w:rFonts w:ascii="Montserrat" w:hAnsi="Montserrat" w:cs="Arial"/>
        </w:rPr>
      </w:pPr>
    </w:p>
    <w:p w14:paraId="05F910E5" w14:textId="5B5FDD54" w:rsidR="00B0059B" w:rsidRPr="00AE36F0" w:rsidRDefault="00B0059B" w:rsidP="00DA40B0">
      <w:pPr>
        <w:pStyle w:val="Prrafodelista"/>
        <w:keepNext/>
        <w:widowControl w:val="0"/>
        <w:numPr>
          <w:ilvl w:val="0"/>
          <w:numId w:val="38"/>
        </w:numPr>
        <w:ind w:left="425" w:hanging="425"/>
        <w:jc w:val="both"/>
        <w:rPr>
          <w:rFonts w:ascii="Montserrat" w:hAnsi="Montserrat"/>
          <w:b/>
          <w:sz w:val="24"/>
          <w:szCs w:val="24"/>
        </w:rPr>
      </w:pPr>
      <w:r w:rsidRPr="00AE36F0">
        <w:rPr>
          <w:rFonts w:ascii="Montserrat" w:hAnsi="Montserrat"/>
          <w:b/>
          <w:sz w:val="24"/>
          <w:szCs w:val="24"/>
        </w:rPr>
        <w:lastRenderedPageBreak/>
        <w:t>Calificaciones otorgadas</w:t>
      </w:r>
    </w:p>
    <w:p w14:paraId="47E63CFD" w14:textId="77777777" w:rsidR="007C4571" w:rsidRPr="00AE36F0" w:rsidRDefault="007C4571" w:rsidP="007C4571">
      <w:pPr>
        <w:jc w:val="both"/>
        <w:rPr>
          <w:rFonts w:ascii="Montserrat" w:hAnsi="Montserrat" w:cs="Arial"/>
        </w:rPr>
      </w:pPr>
      <w:r w:rsidRPr="00AE36F0">
        <w:rPr>
          <w:rFonts w:ascii="Montserrat" w:hAnsi="Montserrat" w:cs="Arial"/>
        </w:rPr>
        <w:t xml:space="preserve">Las opiniones emitidas por las agencias calificadoras: Fitch, HR </w:t>
      </w:r>
      <w:proofErr w:type="spellStart"/>
      <w:r w:rsidRPr="00AE36F0">
        <w:rPr>
          <w:rFonts w:ascii="Montserrat" w:hAnsi="Montserrat" w:cs="Arial"/>
        </w:rPr>
        <w:t>Rantings</w:t>
      </w:r>
      <w:proofErr w:type="spellEnd"/>
      <w:r w:rsidRPr="00AE36F0">
        <w:rPr>
          <w:rFonts w:ascii="Montserrat" w:hAnsi="Montserrat" w:cs="Arial"/>
        </w:rPr>
        <w:t xml:space="preserve">, Moody’s y Standard &amp; Poor’s, han sido unánime en otorgar la calidad crediticia al Estado de Oaxaca con la solvencia para cumplir con las obligaciones financieras contratadas, dejando en claro que el riesgo crediticio es bajo. </w:t>
      </w:r>
    </w:p>
    <w:p w14:paraId="6357EDDF" w14:textId="77777777" w:rsidR="007C4571" w:rsidRPr="00AE36F0" w:rsidRDefault="007C4571" w:rsidP="007C4571">
      <w:pPr>
        <w:jc w:val="both"/>
        <w:rPr>
          <w:rFonts w:ascii="Montserrat" w:hAnsi="Montserrat" w:cs="Arial"/>
        </w:rPr>
      </w:pPr>
    </w:p>
    <w:p w14:paraId="66BE9E6F" w14:textId="77777777" w:rsidR="007C4571" w:rsidRPr="00AE36F0" w:rsidRDefault="007C4571" w:rsidP="007C4571">
      <w:pPr>
        <w:jc w:val="both"/>
        <w:rPr>
          <w:rFonts w:ascii="Montserrat" w:hAnsi="Montserrat" w:cs="Arial"/>
        </w:rPr>
      </w:pPr>
      <w:r w:rsidRPr="00AE36F0">
        <w:rPr>
          <w:rFonts w:ascii="Montserrat" w:hAnsi="Montserrat" w:cs="Arial"/>
        </w:rPr>
        <w:t xml:space="preserve">Esta calidad crediticia </w:t>
      </w:r>
      <w:proofErr w:type="spellStart"/>
      <w:r w:rsidRPr="00AE36F0">
        <w:rPr>
          <w:rFonts w:ascii="Montserrat" w:hAnsi="Montserrat" w:cs="Arial"/>
        </w:rPr>
        <w:t>sub-soberana</w:t>
      </w:r>
      <w:proofErr w:type="spellEnd"/>
      <w:r w:rsidRPr="00AE36F0">
        <w:rPr>
          <w:rFonts w:ascii="Montserrat" w:hAnsi="Montserrat" w:cs="Arial"/>
        </w:rPr>
        <w:t xml:space="preserve"> presentó importantes cambios al alza como resultado la revisión reciente llevada a cabo en el mes de octubre del presente año 2025. </w:t>
      </w:r>
    </w:p>
    <w:p w14:paraId="19E1DA28" w14:textId="77777777" w:rsidR="007C4571" w:rsidRPr="00AE36F0" w:rsidRDefault="007C4571" w:rsidP="007C4571">
      <w:pPr>
        <w:jc w:val="both"/>
        <w:rPr>
          <w:rFonts w:ascii="Montserrat" w:hAnsi="Montserrat" w:cs="Arial"/>
        </w:rPr>
      </w:pPr>
    </w:p>
    <w:p w14:paraId="39D0F113" w14:textId="3F4D772D" w:rsidR="007C4571" w:rsidRPr="00AE36F0" w:rsidRDefault="007C4571" w:rsidP="007C4571">
      <w:pPr>
        <w:jc w:val="both"/>
        <w:rPr>
          <w:rFonts w:ascii="Montserrat" w:hAnsi="Montserrat" w:cs="Arial"/>
        </w:rPr>
      </w:pPr>
      <w:r w:rsidRPr="00AE36F0">
        <w:rPr>
          <w:rFonts w:ascii="Montserrat" w:hAnsi="Montserrat" w:cs="Arial"/>
        </w:rPr>
        <w:t xml:space="preserve">Las cuatro instituciones calificadoras, han emitido su opinión con el criterio que el Estado de Oaxaca, ha puesto en marcha la estrategia adecuada de las variables económicas para presentar resultados positivos en bienestar de la población oaxaqueña. </w:t>
      </w:r>
    </w:p>
    <w:p w14:paraId="71724564" w14:textId="77777777" w:rsidR="007C4571" w:rsidRPr="00AE36F0" w:rsidRDefault="007C4571" w:rsidP="007C4571">
      <w:pPr>
        <w:jc w:val="both"/>
        <w:rPr>
          <w:rFonts w:ascii="Montserrat" w:hAnsi="Montserrat" w:cs="Arial"/>
        </w:rPr>
      </w:pPr>
    </w:p>
    <w:p w14:paraId="1FBD3D32" w14:textId="087AFE16" w:rsidR="007C4571" w:rsidRPr="00AE36F0" w:rsidRDefault="007C4571" w:rsidP="007C4571">
      <w:pPr>
        <w:jc w:val="both"/>
        <w:rPr>
          <w:rFonts w:ascii="Montserrat" w:hAnsi="Montserrat" w:cs="Arial"/>
        </w:rPr>
      </w:pPr>
      <w:r w:rsidRPr="00AE36F0">
        <w:rPr>
          <w:rFonts w:ascii="Montserrat" w:hAnsi="Montserrat" w:cs="Arial"/>
        </w:rPr>
        <w:t>Dicho anterior, se sustenta ante el resultado de la evaluación reciente donde las cuatro agencias calificadoras, que han coincidido en aumentar la calificación de riesgo crediticio al Estado de Oaxaca en el siguiente nivel superior inmediato: Fitch de ‘A+(</w:t>
      </w:r>
      <w:proofErr w:type="spellStart"/>
      <w:r w:rsidRPr="00AE36F0">
        <w:rPr>
          <w:rFonts w:ascii="Montserrat" w:hAnsi="Montserrat" w:cs="Arial"/>
        </w:rPr>
        <w:t>mx</w:t>
      </w:r>
      <w:proofErr w:type="spellEnd"/>
      <w:r w:rsidRPr="00AE36F0">
        <w:rPr>
          <w:rFonts w:ascii="Montserrat" w:hAnsi="Montserrat" w:cs="Arial"/>
        </w:rPr>
        <w:t>)’ a ‘AA-(</w:t>
      </w:r>
      <w:proofErr w:type="spellStart"/>
      <w:r w:rsidRPr="00AE36F0">
        <w:rPr>
          <w:rFonts w:ascii="Montserrat" w:hAnsi="Montserrat" w:cs="Arial"/>
        </w:rPr>
        <w:t>mx</w:t>
      </w:r>
      <w:proofErr w:type="spellEnd"/>
      <w:r w:rsidRPr="00AE36F0">
        <w:rPr>
          <w:rFonts w:ascii="Montserrat" w:hAnsi="Montserrat" w:cs="Arial"/>
        </w:rPr>
        <w:t xml:space="preserve">)’ con Perspectiva Estable, HR </w:t>
      </w:r>
      <w:proofErr w:type="spellStart"/>
      <w:r w:rsidRPr="00AE36F0">
        <w:rPr>
          <w:rFonts w:ascii="Montserrat" w:hAnsi="Montserrat" w:cs="Arial"/>
        </w:rPr>
        <w:t>Rantings</w:t>
      </w:r>
      <w:proofErr w:type="spellEnd"/>
      <w:r w:rsidRPr="00AE36F0">
        <w:rPr>
          <w:rFonts w:ascii="Montserrat" w:hAnsi="Montserrat" w:cs="Arial"/>
        </w:rPr>
        <w:t xml:space="preserve"> de HR AA- a HR AA, Moody’s de A-.mx a A.mx y Standard &amp; Poor’s de ‘mxA’ a mxA’.</w:t>
      </w:r>
    </w:p>
    <w:p w14:paraId="39E17218" w14:textId="77777777" w:rsidR="007C4571" w:rsidRPr="00AE36F0" w:rsidRDefault="007C4571" w:rsidP="007C4571">
      <w:pPr>
        <w:jc w:val="both"/>
        <w:rPr>
          <w:rFonts w:ascii="Montserrat" w:hAnsi="Montserrat"/>
          <w:bCs/>
        </w:rPr>
      </w:pPr>
    </w:p>
    <w:tbl>
      <w:tblPr>
        <w:tblW w:w="9601" w:type="dxa"/>
        <w:tblInd w:w="-436" w:type="dxa"/>
        <w:tblCellMar>
          <w:left w:w="70" w:type="dxa"/>
          <w:right w:w="70" w:type="dxa"/>
        </w:tblCellMar>
        <w:tblLook w:val="04A0" w:firstRow="1" w:lastRow="0" w:firstColumn="1" w:lastColumn="0" w:noHBand="0" w:noVBand="1"/>
      </w:tblPr>
      <w:tblGrid>
        <w:gridCol w:w="2464"/>
        <w:gridCol w:w="1020"/>
        <w:gridCol w:w="1338"/>
        <w:gridCol w:w="1125"/>
        <w:gridCol w:w="1338"/>
        <w:gridCol w:w="2316"/>
      </w:tblGrid>
      <w:tr w:rsidR="007C4571" w:rsidRPr="00AE36F0" w14:paraId="5023436B" w14:textId="77777777" w:rsidTr="00AE36F0">
        <w:trPr>
          <w:trHeight w:val="315"/>
        </w:trPr>
        <w:tc>
          <w:tcPr>
            <w:tcW w:w="9601" w:type="dxa"/>
            <w:gridSpan w:val="6"/>
            <w:tcBorders>
              <w:top w:val="single" w:sz="8" w:space="0" w:color="auto"/>
              <w:left w:val="single" w:sz="8" w:space="0" w:color="auto"/>
              <w:bottom w:val="single" w:sz="8" w:space="0" w:color="auto"/>
              <w:right w:val="single" w:sz="8" w:space="0" w:color="000000"/>
            </w:tcBorders>
            <w:noWrap/>
            <w:vAlign w:val="bottom"/>
            <w:hideMark/>
          </w:tcPr>
          <w:p w14:paraId="18E2CEC6" w14:textId="77777777" w:rsidR="007C4571" w:rsidRPr="00AE36F0" w:rsidRDefault="007C4571" w:rsidP="004B75E1">
            <w:pPr>
              <w:jc w:val="cente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CALIFICACIÓN DE RIESGO CREDITICIO SUB SOBERANA DEL ESTADO DE OAXACA</w:t>
            </w:r>
          </w:p>
        </w:tc>
      </w:tr>
      <w:tr w:rsidR="007C4571" w:rsidRPr="00AE36F0" w14:paraId="7AC1F78E" w14:textId="77777777" w:rsidTr="00AE36F0">
        <w:trPr>
          <w:trHeight w:val="315"/>
        </w:trPr>
        <w:tc>
          <w:tcPr>
            <w:tcW w:w="2464" w:type="dxa"/>
            <w:tcBorders>
              <w:top w:val="single" w:sz="8" w:space="0" w:color="auto"/>
              <w:left w:val="single" w:sz="8" w:space="0" w:color="auto"/>
              <w:bottom w:val="single" w:sz="8" w:space="0" w:color="auto"/>
              <w:right w:val="single" w:sz="4" w:space="0" w:color="auto"/>
            </w:tcBorders>
            <w:noWrap/>
            <w:vAlign w:val="bottom"/>
            <w:hideMark/>
          </w:tcPr>
          <w:p w14:paraId="73DE3044"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Agencia Calificadora</w:t>
            </w:r>
          </w:p>
        </w:tc>
        <w:tc>
          <w:tcPr>
            <w:tcW w:w="1020" w:type="dxa"/>
            <w:tcBorders>
              <w:top w:val="nil"/>
              <w:left w:val="nil"/>
              <w:bottom w:val="single" w:sz="8" w:space="0" w:color="auto"/>
              <w:right w:val="single" w:sz="4" w:space="0" w:color="auto"/>
            </w:tcBorders>
            <w:noWrap/>
            <w:vAlign w:val="bottom"/>
            <w:hideMark/>
          </w:tcPr>
          <w:p w14:paraId="2DEE9D16"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2024</w:t>
            </w:r>
          </w:p>
        </w:tc>
        <w:tc>
          <w:tcPr>
            <w:tcW w:w="1338" w:type="dxa"/>
            <w:tcBorders>
              <w:top w:val="nil"/>
              <w:left w:val="nil"/>
              <w:bottom w:val="single" w:sz="8" w:space="0" w:color="auto"/>
              <w:right w:val="single" w:sz="4" w:space="0" w:color="auto"/>
            </w:tcBorders>
            <w:noWrap/>
            <w:vAlign w:val="bottom"/>
            <w:hideMark/>
          </w:tcPr>
          <w:p w14:paraId="360D1C8D"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Perspectiva</w:t>
            </w:r>
          </w:p>
        </w:tc>
        <w:tc>
          <w:tcPr>
            <w:tcW w:w="1125" w:type="dxa"/>
            <w:tcBorders>
              <w:top w:val="nil"/>
              <w:left w:val="nil"/>
              <w:bottom w:val="single" w:sz="8" w:space="0" w:color="auto"/>
              <w:right w:val="single" w:sz="4" w:space="0" w:color="auto"/>
            </w:tcBorders>
            <w:noWrap/>
            <w:vAlign w:val="bottom"/>
            <w:hideMark/>
          </w:tcPr>
          <w:p w14:paraId="300D129C"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2025</w:t>
            </w:r>
          </w:p>
        </w:tc>
        <w:tc>
          <w:tcPr>
            <w:tcW w:w="1338" w:type="dxa"/>
            <w:tcBorders>
              <w:top w:val="nil"/>
              <w:left w:val="nil"/>
              <w:bottom w:val="single" w:sz="8" w:space="0" w:color="auto"/>
              <w:right w:val="single" w:sz="4" w:space="0" w:color="auto"/>
            </w:tcBorders>
            <w:noWrap/>
            <w:vAlign w:val="bottom"/>
            <w:hideMark/>
          </w:tcPr>
          <w:p w14:paraId="008FA5CB"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Perspectiva</w:t>
            </w:r>
          </w:p>
        </w:tc>
        <w:tc>
          <w:tcPr>
            <w:tcW w:w="2316" w:type="dxa"/>
            <w:tcBorders>
              <w:top w:val="single" w:sz="8" w:space="0" w:color="auto"/>
              <w:left w:val="nil"/>
              <w:bottom w:val="single" w:sz="8" w:space="0" w:color="auto"/>
              <w:right w:val="single" w:sz="8" w:space="0" w:color="000000"/>
            </w:tcBorders>
            <w:noWrap/>
            <w:vAlign w:val="bottom"/>
            <w:hideMark/>
          </w:tcPr>
          <w:p w14:paraId="21D81C4A"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 xml:space="preserve">Observaciones </w:t>
            </w:r>
          </w:p>
        </w:tc>
      </w:tr>
      <w:tr w:rsidR="007C4571" w:rsidRPr="00AE36F0" w14:paraId="4B328059" w14:textId="77777777" w:rsidTr="00AE36F0">
        <w:trPr>
          <w:trHeight w:val="585"/>
        </w:trPr>
        <w:tc>
          <w:tcPr>
            <w:tcW w:w="2464" w:type="dxa"/>
            <w:tcBorders>
              <w:top w:val="nil"/>
              <w:left w:val="single" w:sz="8" w:space="0" w:color="auto"/>
              <w:bottom w:val="single" w:sz="4" w:space="0" w:color="auto"/>
              <w:right w:val="single" w:sz="4" w:space="0" w:color="000000"/>
            </w:tcBorders>
            <w:noWrap/>
            <w:vAlign w:val="bottom"/>
            <w:hideMark/>
          </w:tcPr>
          <w:p w14:paraId="7E430286"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FITCH RATINGS</w:t>
            </w:r>
          </w:p>
        </w:tc>
        <w:tc>
          <w:tcPr>
            <w:tcW w:w="1020" w:type="dxa"/>
            <w:tcBorders>
              <w:top w:val="nil"/>
              <w:left w:val="nil"/>
              <w:bottom w:val="single" w:sz="4" w:space="0" w:color="auto"/>
              <w:right w:val="single" w:sz="4" w:space="0" w:color="auto"/>
            </w:tcBorders>
            <w:noWrap/>
            <w:vAlign w:val="bottom"/>
            <w:hideMark/>
          </w:tcPr>
          <w:p w14:paraId="6BC4C18B"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A+(mex)'</w:t>
            </w:r>
          </w:p>
        </w:tc>
        <w:tc>
          <w:tcPr>
            <w:tcW w:w="1338" w:type="dxa"/>
            <w:tcBorders>
              <w:top w:val="nil"/>
              <w:left w:val="nil"/>
              <w:bottom w:val="single" w:sz="4" w:space="0" w:color="auto"/>
              <w:right w:val="single" w:sz="4" w:space="0" w:color="auto"/>
            </w:tcBorders>
            <w:noWrap/>
            <w:vAlign w:val="bottom"/>
            <w:hideMark/>
          </w:tcPr>
          <w:p w14:paraId="7641DCDE"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Positiva</w:t>
            </w:r>
          </w:p>
        </w:tc>
        <w:tc>
          <w:tcPr>
            <w:tcW w:w="1125" w:type="dxa"/>
            <w:tcBorders>
              <w:top w:val="nil"/>
              <w:left w:val="nil"/>
              <w:bottom w:val="single" w:sz="4" w:space="0" w:color="auto"/>
              <w:right w:val="single" w:sz="4" w:space="0" w:color="auto"/>
            </w:tcBorders>
            <w:noWrap/>
            <w:vAlign w:val="bottom"/>
            <w:hideMark/>
          </w:tcPr>
          <w:p w14:paraId="57C315B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AA-(mex)'</w:t>
            </w:r>
          </w:p>
        </w:tc>
        <w:tc>
          <w:tcPr>
            <w:tcW w:w="1338" w:type="dxa"/>
            <w:tcBorders>
              <w:top w:val="nil"/>
              <w:left w:val="nil"/>
              <w:bottom w:val="single" w:sz="4" w:space="0" w:color="auto"/>
              <w:right w:val="single" w:sz="4" w:space="0" w:color="auto"/>
            </w:tcBorders>
            <w:noWrap/>
            <w:vAlign w:val="bottom"/>
            <w:hideMark/>
          </w:tcPr>
          <w:p w14:paraId="72255BC1"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nil"/>
              <w:left w:val="nil"/>
              <w:bottom w:val="single" w:sz="4" w:space="0" w:color="auto"/>
              <w:right w:val="single" w:sz="8" w:space="0" w:color="000000"/>
            </w:tcBorders>
            <w:vAlign w:val="bottom"/>
            <w:hideMark/>
          </w:tcPr>
          <w:p w14:paraId="1E3DFD7E"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y</w:t>
            </w:r>
            <w:r w:rsidRPr="00AE36F0">
              <w:rPr>
                <w:rFonts w:ascii="Montserrat" w:eastAsia="Times New Roman" w:hAnsi="Montserrat" w:cs="Calibri"/>
                <w:color w:val="000000"/>
                <w:sz w:val="18"/>
                <w:szCs w:val="18"/>
              </w:rPr>
              <w:br/>
              <w:t xml:space="preserve"> modificó la perspectiva</w:t>
            </w:r>
          </w:p>
        </w:tc>
      </w:tr>
      <w:tr w:rsidR="007C4571" w:rsidRPr="00AE36F0" w14:paraId="3664E9D1" w14:textId="77777777" w:rsidTr="00AE36F0">
        <w:trPr>
          <w:trHeight w:val="525"/>
        </w:trPr>
        <w:tc>
          <w:tcPr>
            <w:tcW w:w="2464" w:type="dxa"/>
            <w:tcBorders>
              <w:top w:val="single" w:sz="4" w:space="0" w:color="auto"/>
              <w:left w:val="single" w:sz="8" w:space="0" w:color="auto"/>
              <w:bottom w:val="single" w:sz="4" w:space="0" w:color="auto"/>
              <w:right w:val="single" w:sz="4" w:space="0" w:color="000000"/>
            </w:tcBorders>
            <w:noWrap/>
            <w:vAlign w:val="bottom"/>
            <w:hideMark/>
          </w:tcPr>
          <w:p w14:paraId="6B72AB4C"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 xml:space="preserve">MOODY'S </w:t>
            </w:r>
          </w:p>
        </w:tc>
        <w:tc>
          <w:tcPr>
            <w:tcW w:w="1020" w:type="dxa"/>
            <w:tcBorders>
              <w:top w:val="nil"/>
              <w:left w:val="nil"/>
              <w:bottom w:val="single" w:sz="4" w:space="0" w:color="auto"/>
              <w:right w:val="single" w:sz="4" w:space="0" w:color="auto"/>
            </w:tcBorders>
            <w:noWrap/>
            <w:vAlign w:val="bottom"/>
            <w:hideMark/>
          </w:tcPr>
          <w:p w14:paraId="29228210"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A.mx</w:t>
            </w:r>
          </w:p>
        </w:tc>
        <w:tc>
          <w:tcPr>
            <w:tcW w:w="1338" w:type="dxa"/>
            <w:tcBorders>
              <w:top w:val="nil"/>
              <w:left w:val="nil"/>
              <w:bottom w:val="single" w:sz="4" w:space="0" w:color="auto"/>
              <w:right w:val="single" w:sz="4" w:space="0" w:color="auto"/>
            </w:tcBorders>
            <w:noWrap/>
            <w:vAlign w:val="bottom"/>
            <w:hideMark/>
          </w:tcPr>
          <w:p w14:paraId="2BE4789B"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 xml:space="preserve">Estable </w:t>
            </w:r>
          </w:p>
        </w:tc>
        <w:tc>
          <w:tcPr>
            <w:tcW w:w="1125" w:type="dxa"/>
            <w:tcBorders>
              <w:top w:val="nil"/>
              <w:left w:val="nil"/>
              <w:bottom w:val="single" w:sz="4" w:space="0" w:color="auto"/>
              <w:right w:val="single" w:sz="4" w:space="0" w:color="auto"/>
            </w:tcBorders>
            <w:noWrap/>
            <w:vAlign w:val="bottom"/>
            <w:hideMark/>
          </w:tcPr>
          <w:p w14:paraId="76F38F26"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A-.mx</w:t>
            </w:r>
          </w:p>
        </w:tc>
        <w:tc>
          <w:tcPr>
            <w:tcW w:w="1338" w:type="dxa"/>
            <w:tcBorders>
              <w:top w:val="nil"/>
              <w:left w:val="nil"/>
              <w:bottom w:val="single" w:sz="4" w:space="0" w:color="auto"/>
              <w:right w:val="single" w:sz="4" w:space="0" w:color="auto"/>
            </w:tcBorders>
            <w:noWrap/>
            <w:vAlign w:val="bottom"/>
            <w:hideMark/>
          </w:tcPr>
          <w:p w14:paraId="78C79186"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single" w:sz="4" w:space="0" w:color="auto"/>
              <w:left w:val="nil"/>
              <w:bottom w:val="single" w:sz="4" w:space="0" w:color="auto"/>
              <w:right w:val="single" w:sz="8" w:space="0" w:color="000000"/>
            </w:tcBorders>
            <w:vAlign w:val="bottom"/>
            <w:hideMark/>
          </w:tcPr>
          <w:p w14:paraId="1B26B11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y</w:t>
            </w:r>
            <w:r w:rsidRPr="00AE36F0">
              <w:rPr>
                <w:rFonts w:ascii="Montserrat" w:eastAsia="Times New Roman" w:hAnsi="Montserrat" w:cs="Calibri"/>
                <w:color w:val="000000"/>
                <w:sz w:val="18"/>
                <w:szCs w:val="18"/>
              </w:rPr>
              <w:br/>
              <w:t xml:space="preserve"> mantuvo la perspectiva</w:t>
            </w:r>
          </w:p>
        </w:tc>
      </w:tr>
      <w:tr w:rsidR="007C4571" w:rsidRPr="00AE36F0" w14:paraId="62A067A8" w14:textId="77777777" w:rsidTr="00AE36F0">
        <w:trPr>
          <w:trHeight w:val="570"/>
        </w:trPr>
        <w:tc>
          <w:tcPr>
            <w:tcW w:w="2464" w:type="dxa"/>
            <w:tcBorders>
              <w:top w:val="single" w:sz="4" w:space="0" w:color="auto"/>
              <w:left w:val="single" w:sz="8" w:space="0" w:color="auto"/>
              <w:bottom w:val="single" w:sz="4" w:space="0" w:color="auto"/>
              <w:right w:val="single" w:sz="4" w:space="0" w:color="000000"/>
            </w:tcBorders>
            <w:noWrap/>
            <w:vAlign w:val="bottom"/>
            <w:hideMark/>
          </w:tcPr>
          <w:p w14:paraId="586AD9AE"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HR RATINGS</w:t>
            </w:r>
          </w:p>
        </w:tc>
        <w:tc>
          <w:tcPr>
            <w:tcW w:w="1020" w:type="dxa"/>
            <w:tcBorders>
              <w:top w:val="nil"/>
              <w:left w:val="nil"/>
              <w:bottom w:val="single" w:sz="4" w:space="0" w:color="auto"/>
              <w:right w:val="single" w:sz="4" w:space="0" w:color="auto"/>
            </w:tcBorders>
            <w:noWrap/>
            <w:vAlign w:val="bottom"/>
            <w:hideMark/>
          </w:tcPr>
          <w:p w14:paraId="162DD17D"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HR AA-</w:t>
            </w:r>
          </w:p>
        </w:tc>
        <w:tc>
          <w:tcPr>
            <w:tcW w:w="1338" w:type="dxa"/>
            <w:tcBorders>
              <w:top w:val="nil"/>
              <w:left w:val="nil"/>
              <w:bottom w:val="single" w:sz="4" w:space="0" w:color="auto"/>
              <w:right w:val="single" w:sz="4" w:space="0" w:color="auto"/>
            </w:tcBorders>
            <w:noWrap/>
            <w:vAlign w:val="bottom"/>
            <w:hideMark/>
          </w:tcPr>
          <w:p w14:paraId="76CA63C0"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1125" w:type="dxa"/>
            <w:tcBorders>
              <w:top w:val="nil"/>
              <w:left w:val="nil"/>
              <w:bottom w:val="single" w:sz="4" w:space="0" w:color="auto"/>
              <w:right w:val="single" w:sz="4" w:space="0" w:color="auto"/>
            </w:tcBorders>
            <w:noWrap/>
            <w:vAlign w:val="bottom"/>
            <w:hideMark/>
          </w:tcPr>
          <w:p w14:paraId="4D61B78F"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HR AA</w:t>
            </w:r>
          </w:p>
        </w:tc>
        <w:tc>
          <w:tcPr>
            <w:tcW w:w="1338" w:type="dxa"/>
            <w:tcBorders>
              <w:top w:val="nil"/>
              <w:left w:val="nil"/>
              <w:bottom w:val="single" w:sz="4" w:space="0" w:color="auto"/>
              <w:right w:val="single" w:sz="4" w:space="0" w:color="auto"/>
            </w:tcBorders>
            <w:noWrap/>
            <w:vAlign w:val="bottom"/>
            <w:hideMark/>
          </w:tcPr>
          <w:p w14:paraId="38CBB7B3"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single" w:sz="4" w:space="0" w:color="auto"/>
              <w:left w:val="nil"/>
              <w:bottom w:val="single" w:sz="4" w:space="0" w:color="auto"/>
              <w:right w:val="single" w:sz="8" w:space="0" w:color="000000"/>
            </w:tcBorders>
            <w:vAlign w:val="bottom"/>
            <w:hideMark/>
          </w:tcPr>
          <w:p w14:paraId="7A532431"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y</w:t>
            </w:r>
            <w:r w:rsidRPr="00AE36F0">
              <w:rPr>
                <w:rFonts w:ascii="Montserrat" w:eastAsia="Times New Roman" w:hAnsi="Montserrat" w:cs="Calibri"/>
                <w:color w:val="000000"/>
                <w:sz w:val="18"/>
                <w:szCs w:val="18"/>
              </w:rPr>
              <w:br/>
              <w:t xml:space="preserve"> mantuvo la perspectiva</w:t>
            </w:r>
          </w:p>
        </w:tc>
      </w:tr>
      <w:tr w:rsidR="007C4571" w:rsidRPr="00AE36F0" w14:paraId="1574EB1B" w14:textId="77777777" w:rsidTr="00AE36F0">
        <w:trPr>
          <w:trHeight w:val="585"/>
        </w:trPr>
        <w:tc>
          <w:tcPr>
            <w:tcW w:w="2464" w:type="dxa"/>
            <w:tcBorders>
              <w:top w:val="single" w:sz="4" w:space="0" w:color="auto"/>
              <w:left w:val="single" w:sz="8" w:space="0" w:color="auto"/>
              <w:bottom w:val="single" w:sz="8" w:space="0" w:color="auto"/>
              <w:right w:val="single" w:sz="4" w:space="0" w:color="000000"/>
            </w:tcBorders>
            <w:noWrap/>
            <w:vAlign w:val="bottom"/>
            <w:hideMark/>
          </w:tcPr>
          <w:p w14:paraId="3EB57B9D" w14:textId="77777777" w:rsidR="007C4571" w:rsidRPr="00AE36F0" w:rsidRDefault="007C4571" w:rsidP="004B75E1">
            <w:pPr>
              <w:rPr>
                <w:rFonts w:ascii="Montserrat" w:eastAsia="Times New Roman" w:hAnsi="Montserrat" w:cs="Calibri"/>
                <w:b/>
                <w:bCs/>
                <w:color w:val="000000"/>
                <w:sz w:val="18"/>
                <w:szCs w:val="18"/>
              </w:rPr>
            </w:pPr>
            <w:r w:rsidRPr="00AE36F0">
              <w:rPr>
                <w:rFonts w:ascii="Montserrat" w:eastAsia="Times New Roman" w:hAnsi="Montserrat" w:cs="Calibri"/>
                <w:b/>
                <w:bCs/>
                <w:color w:val="000000"/>
                <w:sz w:val="18"/>
                <w:szCs w:val="18"/>
              </w:rPr>
              <w:t>STANDARD &amp; POOR'S</w:t>
            </w:r>
          </w:p>
        </w:tc>
        <w:tc>
          <w:tcPr>
            <w:tcW w:w="1020" w:type="dxa"/>
            <w:tcBorders>
              <w:top w:val="nil"/>
              <w:left w:val="nil"/>
              <w:bottom w:val="single" w:sz="8" w:space="0" w:color="auto"/>
              <w:right w:val="single" w:sz="4" w:space="0" w:color="auto"/>
            </w:tcBorders>
            <w:noWrap/>
            <w:vAlign w:val="bottom"/>
            <w:hideMark/>
          </w:tcPr>
          <w:p w14:paraId="5353F8DF"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 xml:space="preserve"> 'mxA'</w:t>
            </w:r>
          </w:p>
        </w:tc>
        <w:tc>
          <w:tcPr>
            <w:tcW w:w="1338" w:type="dxa"/>
            <w:tcBorders>
              <w:top w:val="nil"/>
              <w:left w:val="nil"/>
              <w:bottom w:val="single" w:sz="8" w:space="0" w:color="auto"/>
              <w:right w:val="single" w:sz="4" w:space="0" w:color="auto"/>
            </w:tcBorders>
            <w:noWrap/>
            <w:vAlign w:val="bottom"/>
            <w:hideMark/>
          </w:tcPr>
          <w:p w14:paraId="577F5DC0"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1125" w:type="dxa"/>
            <w:tcBorders>
              <w:top w:val="nil"/>
              <w:left w:val="nil"/>
              <w:bottom w:val="single" w:sz="8" w:space="0" w:color="auto"/>
              <w:right w:val="single" w:sz="4" w:space="0" w:color="auto"/>
            </w:tcBorders>
            <w:noWrap/>
            <w:vAlign w:val="bottom"/>
            <w:hideMark/>
          </w:tcPr>
          <w:p w14:paraId="4C3C6751"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mxA+'</w:t>
            </w:r>
          </w:p>
        </w:tc>
        <w:tc>
          <w:tcPr>
            <w:tcW w:w="1338" w:type="dxa"/>
            <w:tcBorders>
              <w:top w:val="nil"/>
              <w:left w:val="nil"/>
              <w:bottom w:val="single" w:sz="8" w:space="0" w:color="auto"/>
              <w:right w:val="single" w:sz="4" w:space="0" w:color="auto"/>
            </w:tcBorders>
            <w:noWrap/>
            <w:vAlign w:val="bottom"/>
            <w:hideMark/>
          </w:tcPr>
          <w:p w14:paraId="44545CB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Estable</w:t>
            </w:r>
          </w:p>
        </w:tc>
        <w:tc>
          <w:tcPr>
            <w:tcW w:w="2316" w:type="dxa"/>
            <w:tcBorders>
              <w:top w:val="single" w:sz="4" w:space="0" w:color="auto"/>
              <w:left w:val="nil"/>
              <w:bottom w:val="single" w:sz="8" w:space="0" w:color="auto"/>
              <w:right w:val="single" w:sz="8" w:space="0" w:color="000000"/>
            </w:tcBorders>
            <w:vAlign w:val="bottom"/>
            <w:hideMark/>
          </w:tcPr>
          <w:p w14:paraId="73761E4A"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Subió la calificación. Mantuvo la perspectiva</w:t>
            </w:r>
          </w:p>
        </w:tc>
      </w:tr>
      <w:tr w:rsidR="007C4571" w:rsidRPr="00AE36F0" w14:paraId="6CF21B42" w14:textId="77777777" w:rsidTr="00AE36F0">
        <w:trPr>
          <w:trHeight w:val="300"/>
        </w:trPr>
        <w:tc>
          <w:tcPr>
            <w:tcW w:w="9601" w:type="dxa"/>
            <w:gridSpan w:val="6"/>
            <w:tcBorders>
              <w:top w:val="single" w:sz="8" w:space="0" w:color="auto"/>
              <w:left w:val="single" w:sz="4" w:space="0" w:color="auto"/>
              <w:bottom w:val="single" w:sz="4" w:space="0" w:color="auto"/>
              <w:right w:val="single" w:sz="4" w:space="0" w:color="000000"/>
            </w:tcBorders>
            <w:noWrap/>
            <w:vAlign w:val="bottom"/>
            <w:hideMark/>
          </w:tcPr>
          <w:p w14:paraId="416C25C7" w14:textId="77777777" w:rsidR="007C4571" w:rsidRPr="00AE36F0" w:rsidRDefault="007C4571" w:rsidP="004B75E1">
            <w:pPr>
              <w:rPr>
                <w:rFonts w:ascii="Montserrat" w:eastAsia="Times New Roman" w:hAnsi="Montserrat" w:cs="Calibri"/>
                <w:color w:val="000000"/>
                <w:sz w:val="18"/>
                <w:szCs w:val="18"/>
              </w:rPr>
            </w:pPr>
            <w:r w:rsidRPr="00AE36F0">
              <w:rPr>
                <w:rFonts w:ascii="Montserrat" w:eastAsia="Times New Roman" w:hAnsi="Montserrat" w:cs="Calibri"/>
                <w:color w:val="000000"/>
                <w:sz w:val="18"/>
                <w:szCs w:val="18"/>
              </w:rPr>
              <w:t>Nota: Fuente: Reportes emitidos por las Agencias Calificadoras.</w:t>
            </w:r>
          </w:p>
        </w:tc>
      </w:tr>
    </w:tbl>
    <w:p w14:paraId="1F0C9642" w14:textId="77777777" w:rsidR="007C4571" w:rsidRPr="00AE36F0" w:rsidRDefault="007C4571" w:rsidP="007C4571">
      <w:pPr>
        <w:rPr>
          <w:rFonts w:ascii="Montserrat" w:hAnsi="Montserrat"/>
        </w:rPr>
      </w:pPr>
    </w:p>
    <w:p w14:paraId="7851A42B" w14:textId="77777777" w:rsidR="00DE049C" w:rsidRDefault="00DE049C" w:rsidP="007C4571">
      <w:pPr>
        <w:rPr>
          <w:rFonts w:ascii="Montserrat" w:hAnsi="Montserrat"/>
        </w:rPr>
      </w:pPr>
    </w:p>
    <w:p w14:paraId="6B4AA2C3" w14:textId="77777777" w:rsidR="00DE049C" w:rsidRDefault="00DE049C" w:rsidP="007C4571">
      <w:pPr>
        <w:rPr>
          <w:rFonts w:ascii="Montserrat" w:hAnsi="Montserrat"/>
        </w:rPr>
      </w:pPr>
    </w:p>
    <w:p w14:paraId="40ED2F61" w14:textId="6F13F27D" w:rsidR="007C4571" w:rsidRPr="00AE36F0" w:rsidRDefault="007C4571" w:rsidP="007C4571">
      <w:pPr>
        <w:rPr>
          <w:rFonts w:ascii="Montserrat" w:hAnsi="Montserrat"/>
        </w:rPr>
      </w:pPr>
      <w:r w:rsidRPr="00AE36F0">
        <w:rPr>
          <w:rFonts w:ascii="Montserrat" w:hAnsi="Montserrat"/>
        </w:rPr>
        <w:t>Para considerar la importancia y sustentar el hecho de que las agencias mejoraron la calificación, es de importancia la descripción textual de las mismas:</w:t>
      </w:r>
    </w:p>
    <w:p w14:paraId="04184648" w14:textId="77777777" w:rsidR="007C4571" w:rsidRDefault="007C4571" w:rsidP="007C4571">
      <w:pPr>
        <w:rPr>
          <w:rFonts w:ascii="Montserrat" w:hAnsi="Montserrat"/>
          <w:b/>
          <w:bCs/>
        </w:rPr>
      </w:pPr>
    </w:p>
    <w:p w14:paraId="7267A63E" w14:textId="77777777" w:rsidR="00DE049C" w:rsidRPr="00AE36F0" w:rsidRDefault="00DE049C" w:rsidP="007C4571">
      <w:pPr>
        <w:rPr>
          <w:rFonts w:ascii="Montserrat" w:hAnsi="Montserrat"/>
          <w:b/>
          <w:bCs/>
        </w:rPr>
      </w:pPr>
    </w:p>
    <w:p w14:paraId="663F6810" w14:textId="77777777" w:rsidR="007C4571" w:rsidRPr="00AE36F0" w:rsidRDefault="007C4571" w:rsidP="007C4571">
      <w:pPr>
        <w:jc w:val="both"/>
        <w:rPr>
          <w:rFonts w:ascii="Montserrat" w:hAnsi="Montserrat"/>
        </w:rPr>
      </w:pPr>
      <w:r w:rsidRPr="00AE36F0">
        <w:rPr>
          <w:rFonts w:ascii="Montserrat" w:hAnsi="Montserrat"/>
          <w:b/>
          <w:bCs/>
        </w:rPr>
        <w:t>Standard &amp; Poor’s opina</w:t>
      </w:r>
      <w:r w:rsidRPr="00AE36F0">
        <w:rPr>
          <w:rFonts w:ascii="Montserrat" w:hAnsi="Montserrat"/>
        </w:rPr>
        <w:t xml:space="preserve"> “El alza de la calificación del Estado de Oaxaca refleja su fortalecimiento financiero, principalmente por el aumento de sus recursos propios, que permitiría ejecutar sus planes de infraestructura.”</w:t>
      </w:r>
    </w:p>
    <w:p w14:paraId="4B37E030" w14:textId="77777777" w:rsidR="007C4571" w:rsidRDefault="007C4571" w:rsidP="007C4571">
      <w:pPr>
        <w:jc w:val="both"/>
        <w:rPr>
          <w:rFonts w:ascii="Montserrat" w:hAnsi="Montserrat"/>
        </w:rPr>
      </w:pPr>
    </w:p>
    <w:p w14:paraId="70BA70F1" w14:textId="77777777" w:rsidR="00DE049C" w:rsidRPr="00AE36F0" w:rsidRDefault="00DE049C" w:rsidP="007C4571">
      <w:pPr>
        <w:jc w:val="both"/>
        <w:rPr>
          <w:rFonts w:ascii="Montserrat" w:hAnsi="Montserrat"/>
        </w:rPr>
      </w:pPr>
    </w:p>
    <w:p w14:paraId="29882720" w14:textId="77777777" w:rsidR="007C4571" w:rsidRPr="00AE36F0" w:rsidRDefault="007C4571" w:rsidP="007C4571">
      <w:pPr>
        <w:jc w:val="both"/>
        <w:rPr>
          <w:rFonts w:ascii="Montserrat" w:hAnsi="Montserrat"/>
        </w:rPr>
      </w:pPr>
      <w:r w:rsidRPr="00AE36F0">
        <w:rPr>
          <w:rFonts w:ascii="Montserrat" w:hAnsi="Montserrat"/>
          <w:b/>
          <w:bCs/>
        </w:rPr>
        <w:t>Moody’s</w:t>
      </w:r>
      <w:r w:rsidRPr="00AE36F0">
        <w:rPr>
          <w:rFonts w:ascii="Montserrat" w:hAnsi="Montserrat"/>
        </w:rPr>
        <w:t>: “El alza en la calificación de emisor refleja una mejora en las principales métricas crediticias de Oaxaca, especialmente los márgenes operativos, resultados financieros y la liquidez.”</w:t>
      </w:r>
    </w:p>
    <w:p w14:paraId="5B51682D" w14:textId="77777777" w:rsidR="007C4571" w:rsidRDefault="007C4571" w:rsidP="007C4571">
      <w:pPr>
        <w:jc w:val="both"/>
        <w:rPr>
          <w:rFonts w:ascii="Montserrat" w:hAnsi="Montserrat"/>
          <w:b/>
          <w:bCs/>
        </w:rPr>
      </w:pPr>
    </w:p>
    <w:p w14:paraId="7D305921" w14:textId="77777777" w:rsidR="00DE049C" w:rsidRPr="00AE36F0" w:rsidRDefault="00DE049C" w:rsidP="007C4571">
      <w:pPr>
        <w:jc w:val="both"/>
        <w:rPr>
          <w:rFonts w:ascii="Montserrat" w:hAnsi="Montserrat"/>
          <w:b/>
          <w:bCs/>
        </w:rPr>
      </w:pPr>
    </w:p>
    <w:p w14:paraId="6751AD05" w14:textId="39A07265" w:rsidR="007C4571" w:rsidRPr="00AE36F0" w:rsidRDefault="007C4571" w:rsidP="007C4571">
      <w:pPr>
        <w:jc w:val="both"/>
        <w:rPr>
          <w:rFonts w:ascii="Montserrat" w:hAnsi="Montserrat"/>
        </w:rPr>
      </w:pPr>
      <w:r w:rsidRPr="00AE36F0">
        <w:rPr>
          <w:rFonts w:ascii="Montserrat" w:hAnsi="Montserrat"/>
          <w:b/>
          <w:bCs/>
        </w:rPr>
        <w:t xml:space="preserve">HR </w:t>
      </w:r>
      <w:proofErr w:type="spellStart"/>
      <w:r w:rsidRPr="00AE36F0">
        <w:rPr>
          <w:rFonts w:ascii="Montserrat" w:hAnsi="Montserrat"/>
          <w:b/>
          <w:bCs/>
        </w:rPr>
        <w:t>Rantings</w:t>
      </w:r>
      <w:proofErr w:type="spellEnd"/>
      <w:r w:rsidRPr="00AE36F0">
        <w:rPr>
          <w:rFonts w:ascii="Montserrat" w:hAnsi="Montserrat"/>
          <w:b/>
          <w:bCs/>
        </w:rPr>
        <w:t>:</w:t>
      </w:r>
      <w:r w:rsidRPr="00AE36F0">
        <w:rPr>
          <w:rFonts w:ascii="Montserrat" w:hAnsi="Montserrat"/>
        </w:rPr>
        <w:t xml:space="preserve"> “La revisión al alza de la calificación obedece a la mejora constante observada de las métricas financieras, lo cual se ha traducido en un menor nivel de endeudamiento relativo respecto a la revisión anterior, así como a la expectativa de que se mantenga en los próximos periodos.”</w:t>
      </w:r>
    </w:p>
    <w:p w14:paraId="42F58F40" w14:textId="77777777" w:rsidR="007C4571" w:rsidRDefault="007C4571" w:rsidP="007C4571">
      <w:pPr>
        <w:jc w:val="both"/>
        <w:rPr>
          <w:rFonts w:ascii="Montserrat" w:hAnsi="Montserrat"/>
          <w:b/>
          <w:bCs/>
        </w:rPr>
      </w:pPr>
    </w:p>
    <w:p w14:paraId="7F3588DA" w14:textId="77777777" w:rsidR="00DE049C" w:rsidRPr="00AE36F0" w:rsidRDefault="00DE049C" w:rsidP="007C4571">
      <w:pPr>
        <w:jc w:val="both"/>
        <w:rPr>
          <w:rFonts w:ascii="Montserrat" w:hAnsi="Montserrat"/>
          <w:b/>
          <w:bCs/>
        </w:rPr>
      </w:pPr>
    </w:p>
    <w:p w14:paraId="43679413" w14:textId="759A6ADE" w:rsidR="007C4571" w:rsidRPr="00AE36F0" w:rsidRDefault="007C4571" w:rsidP="007C4571">
      <w:pPr>
        <w:jc w:val="both"/>
        <w:rPr>
          <w:rFonts w:ascii="Montserrat" w:hAnsi="Montserrat"/>
        </w:rPr>
      </w:pPr>
      <w:r w:rsidRPr="00AE36F0">
        <w:rPr>
          <w:rFonts w:ascii="Montserrat" w:hAnsi="Montserrat"/>
          <w:b/>
          <w:bCs/>
        </w:rPr>
        <w:t xml:space="preserve">Fitch: </w:t>
      </w:r>
      <w:r w:rsidRPr="00AE36F0">
        <w:rPr>
          <w:rFonts w:ascii="Montserrat" w:hAnsi="Montserrat"/>
        </w:rPr>
        <w:t>“La mejora en la calificación se sustenta en el fortalecimiento de las posiciones de liquidez del estado por tercer año consecutivo, lo que llevó a modificar el factor de riesgo, flexibilidad de pasivo y liquidez. La Perspectiva Estable refleja la expectativa de la agencia de que la entidad mantendrá la evaluación del perfil financiero, con una métrica de repago y una cobertura real de servicio de la deuda en niveles favorables.”</w:t>
      </w:r>
    </w:p>
    <w:p w14:paraId="3FD5E974" w14:textId="77777777" w:rsidR="007C4571" w:rsidRPr="00AE36F0" w:rsidRDefault="007C4571" w:rsidP="007C4571">
      <w:pPr>
        <w:spacing w:line="264" w:lineRule="auto"/>
        <w:contextualSpacing/>
        <w:jc w:val="both"/>
        <w:rPr>
          <w:rFonts w:ascii="Montserrat" w:hAnsi="Montserrat" w:cs="Arial"/>
        </w:rPr>
      </w:pPr>
    </w:p>
    <w:p w14:paraId="77A86F05" w14:textId="10EBC449" w:rsidR="007C4571" w:rsidRPr="00AE36F0" w:rsidRDefault="007C4571" w:rsidP="007C4571">
      <w:pPr>
        <w:spacing w:line="264" w:lineRule="auto"/>
        <w:contextualSpacing/>
        <w:jc w:val="both"/>
        <w:rPr>
          <w:rFonts w:ascii="Montserrat" w:hAnsi="Montserrat" w:cs="Arial"/>
        </w:rPr>
      </w:pPr>
      <w:r w:rsidRPr="00AE36F0">
        <w:rPr>
          <w:rFonts w:ascii="Montserrat" w:hAnsi="Montserrat" w:cs="Arial"/>
        </w:rPr>
        <w:t>La interpretación de las calificaciones es la siguiente: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13B81605" w14:textId="77777777" w:rsidR="007C4571" w:rsidRPr="00AE36F0" w:rsidRDefault="007C4571" w:rsidP="007C4571">
      <w:pPr>
        <w:jc w:val="both"/>
        <w:rPr>
          <w:rFonts w:ascii="Montserrat" w:hAnsi="Montserrat"/>
        </w:rPr>
      </w:pPr>
    </w:p>
    <w:p w14:paraId="1E153DF1" w14:textId="77777777" w:rsidR="00DE049C" w:rsidRDefault="00DE049C" w:rsidP="007C4571">
      <w:pPr>
        <w:jc w:val="both"/>
        <w:rPr>
          <w:rFonts w:ascii="Montserrat" w:hAnsi="Montserrat"/>
          <w:bCs/>
        </w:rPr>
      </w:pPr>
    </w:p>
    <w:p w14:paraId="3C24984C" w14:textId="43D00323" w:rsidR="007C4571" w:rsidRPr="00AE36F0" w:rsidRDefault="007C4571" w:rsidP="007C4571">
      <w:pPr>
        <w:jc w:val="both"/>
        <w:rPr>
          <w:rFonts w:ascii="Montserrat" w:hAnsi="Montserrat"/>
          <w:bCs/>
        </w:rPr>
      </w:pPr>
      <w:r w:rsidRPr="00AE36F0">
        <w:rPr>
          <w:rFonts w:ascii="Montserrat" w:hAnsi="Montserrat"/>
          <w:bCs/>
        </w:rPr>
        <w:t xml:space="preserve">No se puede negar que el Estado, mantiene una dependencia por parte de la federación, pero queda demostrado de los recursos recibidos y los recursos propios son administrados en el sentido de fijar prioridades para no recurrir a los financiamientos de largo plazo así mismo  de corto plazo, por lo cual, el Estado ha evitado operaciones de endeudamiento y contar con la liquidez con el incremento de los ingresos propios suficientes para cubrir los gastos que exige la administración del pueblo oaxaqueño. Esta actitud responsable, permite que las calificadoras evalúen favorablemente con notaciones positivas.   </w:t>
      </w:r>
    </w:p>
    <w:p w14:paraId="62F374B3" w14:textId="77777777" w:rsidR="007C4571" w:rsidRPr="00AE36F0" w:rsidRDefault="007C4571" w:rsidP="007C4571">
      <w:pPr>
        <w:jc w:val="both"/>
        <w:rPr>
          <w:rFonts w:ascii="Montserrat" w:hAnsi="Montserrat"/>
          <w:bCs/>
        </w:rPr>
      </w:pPr>
    </w:p>
    <w:p w14:paraId="30D0CFBE" w14:textId="77777777" w:rsidR="007C4571" w:rsidRPr="00AE36F0" w:rsidRDefault="007C4571" w:rsidP="007C4571">
      <w:pPr>
        <w:jc w:val="both"/>
        <w:rPr>
          <w:rFonts w:ascii="Montserrat" w:hAnsi="Montserrat"/>
        </w:rPr>
      </w:pPr>
      <w:r w:rsidRPr="00AE36F0">
        <w:rPr>
          <w:rFonts w:ascii="Montserrat" w:hAnsi="Montserrat"/>
        </w:rPr>
        <w:t>La evolución de las calificaciones del riesgo crediticio durante el ejercicio de la presente administración, deja un gran precedente, ya que no se había registrado desde el comienzo de tomarse en cuenta este indicador, con resultados positivos relevantes, además, con el acierto de que las cuatro calificadoras coinciden en subir las calificaciones respectivamente.</w:t>
      </w:r>
    </w:p>
    <w:p w14:paraId="5C6B245B" w14:textId="77777777" w:rsidR="00B30F99" w:rsidRDefault="00B30F99" w:rsidP="00B30F99">
      <w:pPr>
        <w:ind w:hanging="284"/>
        <w:jc w:val="both"/>
        <w:rPr>
          <w:rFonts w:ascii="Montserrat" w:hAnsi="Montserrat"/>
        </w:rPr>
      </w:pPr>
    </w:p>
    <w:p w14:paraId="0E542460" w14:textId="77777777" w:rsidR="00DE049C" w:rsidRPr="00AE36F0" w:rsidRDefault="00DE049C" w:rsidP="00B30F99">
      <w:pPr>
        <w:ind w:hanging="284"/>
        <w:jc w:val="both"/>
        <w:rPr>
          <w:rFonts w:ascii="Montserrat" w:hAnsi="Montserrat"/>
        </w:rPr>
      </w:pPr>
    </w:p>
    <w:p w14:paraId="6D73CD56" w14:textId="77777777" w:rsidR="00F13C24" w:rsidRDefault="00B30F99" w:rsidP="00F13C24">
      <w:pPr>
        <w:ind w:hanging="709"/>
        <w:jc w:val="both"/>
        <w:rPr>
          <w:rFonts w:ascii="Montserrat" w:hAnsi="Montserrat"/>
        </w:rPr>
      </w:pPr>
      <w:r w:rsidRPr="00AE36F0">
        <w:rPr>
          <w:rFonts w:ascii="Montserrat" w:hAnsi="Montserrat"/>
          <w:noProof/>
        </w:rPr>
        <w:drawing>
          <wp:inline distT="0" distB="0" distL="0" distR="0" wp14:anchorId="466010D2" wp14:editId="51A38275">
            <wp:extent cx="6686821" cy="1769423"/>
            <wp:effectExtent l="0" t="0" r="0" b="2540"/>
            <wp:docPr id="62603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914" name=""/>
                    <pic:cNvPicPr/>
                  </pic:nvPicPr>
                  <pic:blipFill>
                    <a:blip r:embed="rId18"/>
                    <a:stretch>
                      <a:fillRect/>
                    </a:stretch>
                  </pic:blipFill>
                  <pic:spPr>
                    <a:xfrm>
                      <a:off x="0" y="0"/>
                      <a:ext cx="6712406" cy="1776193"/>
                    </a:xfrm>
                    <a:prstGeom prst="rect">
                      <a:avLst/>
                    </a:prstGeom>
                  </pic:spPr>
                </pic:pic>
              </a:graphicData>
            </a:graphic>
          </wp:inline>
        </w:drawing>
      </w:r>
    </w:p>
    <w:p w14:paraId="2B7F5E8B" w14:textId="77777777" w:rsidR="00F13C24" w:rsidRDefault="00F13C24" w:rsidP="00F13C24">
      <w:pPr>
        <w:ind w:hanging="709"/>
        <w:jc w:val="both"/>
        <w:rPr>
          <w:rFonts w:ascii="Montserrat" w:hAnsi="Montserrat"/>
        </w:rPr>
      </w:pPr>
    </w:p>
    <w:p w14:paraId="6A3B7F0D" w14:textId="0E9955DB" w:rsidR="007C4571" w:rsidRPr="00AE36F0" w:rsidRDefault="007C4571" w:rsidP="00F13C24">
      <w:pPr>
        <w:jc w:val="both"/>
        <w:rPr>
          <w:rFonts w:ascii="Montserrat" w:hAnsi="Montserrat"/>
        </w:rPr>
      </w:pPr>
      <w:r w:rsidRPr="00AE36F0">
        <w:rPr>
          <w:rFonts w:ascii="Montserrat" w:hAnsi="Montserrat"/>
        </w:rPr>
        <w:t>En la gráfica se observa la tendencia de las posiciones de las calificaciones durante los años de la presente administración.</w:t>
      </w:r>
    </w:p>
    <w:p w14:paraId="24B86A9E" w14:textId="77777777" w:rsidR="00B30F99" w:rsidRPr="00AE36F0" w:rsidRDefault="00B30F99" w:rsidP="007C4571">
      <w:pPr>
        <w:jc w:val="both"/>
        <w:rPr>
          <w:rFonts w:ascii="Montserrat" w:hAnsi="Montserrat"/>
        </w:rPr>
      </w:pPr>
    </w:p>
    <w:p w14:paraId="07860C90" w14:textId="77777777" w:rsidR="007C4571" w:rsidRPr="00AE36F0" w:rsidRDefault="007C4571" w:rsidP="00B30F99">
      <w:pPr>
        <w:jc w:val="center"/>
        <w:rPr>
          <w:rFonts w:ascii="Montserrat" w:hAnsi="Montserrat"/>
        </w:rPr>
      </w:pPr>
      <w:r w:rsidRPr="00AE36F0">
        <w:rPr>
          <w:rFonts w:ascii="Montserrat" w:hAnsi="Montserrat"/>
          <w:noProof/>
        </w:rPr>
        <w:lastRenderedPageBreak/>
        <w:drawing>
          <wp:inline distT="0" distB="0" distL="0" distR="0" wp14:anchorId="3ABFE3AB" wp14:editId="4044285A">
            <wp:extent cx="4319055" cy="3309791"/>
            <wp:effectExtent l="0" t="0" r="5715" b="5080"/>
            <wp:docPr id="1160234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4369" name=""/>
                    <pic:cNvPicPr/>
                  </pic:nvPicPr>
                  <pic:blipFill rotWithShape="1">
                    <a:blip r:embed="rId19"/>
                    <a:srcRect l="10863" t="24982" r="39748" b="14464"/>
                    <a:stretch>
                      <a:fillRect/>
                    </a:stretch>
                  </pic:blipFill>
                  <pic:spPr bwMode="auto">
                    <a:xfrm>
                      <a:off x="0" y="0"/>
                      <a:ext cx="4319055" cy="3309791"/>
                    </a:xfrm>
                    <a:prstGeom prst="rect">
                      <a:avLst/>
                    </a:prstGeom>
                    <a:ln>
                      <a:noFill/>
                    </a:ln>
                    <a:extLst>
                      <a:ext uri="{53640926-AAD7-44D8-BBD7-CCE9431645EC}">
                        <a14:shadowObscured xmlns:a14="http://schemas.microsoft.com/office/drawing/2010/main"/>
                      </a:ext>
                    </a:extLst>
                  </pic:spPr>
                </pic:pic>
              </a:graphicData>
            </a:graphic>
          </wp:inline>
        </w:drawing>
      </w:r>
    </w:p>
    <w:p w14:paraId="71058246" w14:textId="77777777" w:rsidR="00B30F99" w:rsidRPr="00AE36F0" w:rsidRDefault="00B30F99" w:rsidP="007C4571">
      <w:pPr>
        <w:jc w:val="both"/>
        <w:rPr>
          <w:rFonts w:ascii="Montserrat" w:hAnsi="Montserrat" w:cs="Arial"/>
        </w:rPr>
      </w:pPr>
    </w:p>
    <w:p w14:paraId="3C9CA6F0" w14:textId="7AAF05EC" w:rsidR="007C4571" w:rsidRPr="00AE36F0" w:rsidRDefault="007C4571" w:rsidP="007C4571">
      <w:pPr>
        <w:jc w:val="both"/>
        <w:rPr>
          <w:rFonts w:ascii="Montserrat" w:hAnsi="Montserrat"/>
        </w:rPr>
      </w:pPr>
      <w:r w:rsidRPr="00AE36F0">
        <w:rPr>
          <w:rFonts w:ascii="Montserrat" w:hAnsi="Montserrat" w:cs="Arial"/>
        </w:rPr>
        <w:t>Es relevante que se sigan observando que esta administración continuará con los mismos propósitos del inicio de su gobierno, de no contratar financiamientos de ningún plazo, ajustarse en el gasto e incremento del ingreso propio, como puntos de más importancia. Lo antes dicho, el Estado, refrenda una buena imagen ante las instituciones financieras, inversionistas y la sociedad oaxaqueña en general.</w:t>
      </w:r>
    </w:p>
    <w:p w14:paraId="60BD089F" w14:textId="77777777" w:rsidR="007C4571" w:rsidRPr="00AE36F0" w:rsidRDefault="007C4571" w:rsidP="007C4571">
      <w:pPr>
        <w:spacing w:line="264" w:lineRule="auto"/>
        <w:contextualSpacing/>
        <w:jc w:val="both"/>
        <w:rPr>
          <w:rFonts w:ascii="Montserrat" w:hAnsi="Montserrat" w:cs="Arial"/>
        </w:rPr>
      </w:pPr>
    </w:p>
    <w:p w14:paraId="4F00A7E2" w14:textId="278324F9" w:rsidR="007C4571" w:rsidRPr="00AE36F0" w:rsidRDefault="007C4571" w:rsidP="007C4571">
      <w:pPr>
        <w:jc w:val="both"/>
        <w:rPr>
          <w:rFonts w:ascii="Montserrat" w:hAnsi="Montserrat"/>
        </w:rPr>
      </w:pPr>
      <w:r w:rsidRPr="00AE36F0">
        <w:rPr>
          <w:rFonts w:ascii="Montserrat" w:hAnsi="Montserrat"/>
        </w:rPr>
        <w:t>El Gobierno del Estado de Oaxaca, continúa con apego a los planteamientos administrativos y financieros determinados al inicio que asumió la administración, bajo el esquema de no endeudar al Estado. Así mismo, con respecto de la deuda pública, recientemente llevó a la práctica la restructuración de la deuda en la cual resultó favorablemente en el manejo en el concepto del servicio de la deuda como moderado y decreciente. Este hecho las calificadoras lo observan como una estrategia asumida por el gobierno oaxaqueño de positiva en la medida de que se refleja en la administración del costo financiero.</w:t>
      </w:r>
    </w:p>
    <w:p w14:paraId="5C12A11A" w14:textId="77777777" w:rsidR="00B30F99" w:rsidRPr="00AE36F0" w:rsidRDefault="00B30F99" w:rsidP="007C4571">
      <w:pPr>
        <w:jc w:val="both"/>
        <w:rPr>
          <w:rFonts w:ascii="Montserrat" w:hAnsi="Montserrat"/>
        </w:rPr>
      </w:pPr>
    </w:p>
    <w:p w14:paraId="6735670F" w14:textId="731B7180" w:rsidR="007C4571" w:rsidRPr="00AE36F0" w:rsidRDefault="007C4571" w:rsidP="007C4571">
      <w:pPr>
        <w:jc w:val="both"/>
        <w:rPr>
          <w:rFonts w:ascii="Montserrat" w:hAnsi="Montserrat"/>
        </w:rPr>
      </w:pPr>
      <w:r w:rsidRPr="00AE36F0">
        <w:rPr>
          <w:rFonts w:ascii="Montserrat" w:hAnsi="Montserrat"/>
        </w:rPr>
        <w:lastRenderedPageBreak/>
        <w:t xml:space="preserve">En término concreto se resume en lo siguiente: continuar con la iniciativa de no contratar deuda pública de largo y corto plazos siempre y cuando de no presentarse alguna contingencia que lo amerite.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2025. </w:t>
      </w:r>
    </w:p>
    <w:p w14:paraId="06BFA21D" w14:textId="77777777" w:rsidR="007C4571" w:rsidRPr="00AE36F0" w:rsidRDefault="007C4571" w:rsidP="007C4571">
      <w:pPr>
        <w:spacing w:line="264" w:lineRule="auto"/>
        <w:contextualSpacing/>
        <w:jc w:val="both"/>
        <w:rPr>
          <w:rFonts w:ascii="Montserrat" w:hAnsi="Montserrat" w:cs="Arial"/>
          <w:kern w:val="2"/>
        </w:rPr>
      </w:pPr>
    </w:p>
    <w:p w14:paraId="00BAE916" w14:textId="77777777" w:rsidR="007C4571" w:rsidRPr="00AE36F0" w:rsidRDefault="007C4571" w:rsidP="007C4571">
      <w:pPr>
        <w:spacing w:line="264" w:lineRule="auto"/>
        <w:contextualSpacing/>
        <w:jc w:val="both"/>
        <w:rPr>
          <w:rFonts w:ascii="Montserrat" w:hAnsi="Montserrat" w:cs="Arial"/>
          <w:kern w:val="2"/>
        </w:rPr>
      </w:pPr>
      <w:bookmarkStart w:id="5" w:name="_Hlk186791877"/>
      <w:r w:rsidRPr="00AE36F0">
        <w:rPr>
          <w:rFonts w:ascii="Montserrat" w:hAnsi="Montserrat" w:cs="Arial"/>
          <w:kern w:val="2"/>
        </w:rPr>
        <w:t>Las mejores percepciones observadas para el otorgamiento de la calificación soberana del Estado y la apreciación de la perspectiva de la misma, las agencias se basaron en las siguientes fortalezas:</w:t>
      </w:r>
    </w:p>
    <w:p w14:paraId="1D8CAD76"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Mejora en el perfil de endeudamiento. El Estado no ha contratado financiamiento de corto ni lago plazos durante los años de esta administración.</w:t>
      </w:r>
    </w:p>
    <w:p w14:paraId="38E751C0"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1D37F57A"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La deuda pública a largo plazo está respaldada con operaciones de coberturas financieras (Swap).</w:t>
      </w:r>
    </w:p>
    <w:p w14:paraId="06D10677"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Superávit en el Balance Primario.</w:t>
      </w:r>
    </w:p>
    <w:p w14:paraId="1BF1BF1A"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Bajo Pasivo Circulante.</w:t>
      </w:r>
    </w:p>
    <w:p w14:paraId="243D00F1"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Políticas fiscales y administrativas para mantener e incrementar los niveles de recaudación local.</w:t>
      </w:r>
    </w:p>
    <w:p w14:paraId="5359F5BE"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La generación adecuada de ahorro interno.</w:t>
      </w:r>
    </w:p>
    <w:p w14:paraId="3D354BD8"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Posición de liquidez adecuada.</w:t>
      </w:r>
    </w:p>
    <w:p w14:paraId="40AB84CC" w14:textId="77777777" w:rsidR="007C4571" w:rsidRPr="00AE36F0" w:rsidRDefault="007C4571" w:rsidP="007C4571">
      <w:pPr>
        <w:pStyle w:val="Prrafodelista"/>
        <w:numPr>
          <w:ilvl w:val="0"/>
          <w:numId w:val="19"/>
        </w:numPr>
        <w:spacing w:before="100" w:beforeAutospacing="1" w:after="100" w:afterAutospacing="1" w:line="264" w:lineRule="auto"/>
        <w:jc w:val="both"/>
        <w:rPr>
          <w:rFonts w:ascii="Montserrat" w:hAnsi="Montserrat" w:cs="Arial"/>
          <w:kern w:val="2"/>
          <w:sz w:val="24"/>
          <w:szCs w:val="24"/>
        </w:rPr>
      </w:pPr>
      <w:r w:rsidRPr="00AE36F0">
        <w:rPr>
          <w:rFonts w:ascii="Montserrat" w:hAnsi="Montserrat" w:cs="Arial"/>
          <w:kern w:val="2"/>
          <w:sz w:val="24"/>
          <w:szCs w:val="24"/>
        </w:rPr>
        <w:t xml:space="preserve">Márgenes operativos positivos </w:t>
      </w:r>
      <w:bookmarkEnd w:id="5"/>
    </w:p>
    <w:p w14:paraId="0F124C19"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Las opiniones siguientes son tomadas de los reportes que las diferentes agencias calificadoras emiten para el conocimiento del interés público dadas a conocer en la página de la Secretaría de Finanzas.</w:t>
      </w:r>
    </w:p>
    <w:p w14:paraId="4BFE0138" w14:textId="77777777" w:rsidR="007C4571" w:rsidRPr="00AE36F0" w:rsidRDefault="007C4571" w:rsidP="007C4571">
      <w:pPr>
        <w:spacing w:line="264" w:lineRule="auto"/>
        <w:contextualSpacing/>
        <w:jc w:val="both"/>
        <w:rPr>
          <w:rFonts w:ascii="Montserrat" w:hAnsi="Montserrat" w:cs="Arial"/>
          <w:bCs/>
          <w:kern w:val="2"/>
        </w:rPr>
      </w:pPr>
    </w:p>
    <w:p w14:paraId="6A81ACA4"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HR RATINGS (</w:t>
      </w:r>
      <w:proofErr w:type="gramStart"/>
      <w:r w:rsidRPr="00AE36F0">
        <w:rPr>
          <w:rFonts w:ascii="Montserrat" w:hAnsi="Montserrat" w:cs="Arial"/>
          <w:b/>
          <w:kern w:val="2"/>
        </w:rPr>
        <w:t>Diciembre</w:t>
      </w:r>
      <w:proofErr w:type="gramEnd"/>
      <w:r w:rsidRPr="00AE36F0">
        <w:rPr>
          <w:rFonts w:ascii="Montserrat" w:hAnsi="Montserrat" w:cs="Arial"/>
          <w:b/>
          <w:kern w:val="2"/>
        </w:rPr>
        <w:t xml:space="preserve"> 01, 2025).  </w:t>
      </w:r>
    </w:p>
    <w:p w14:paraId="0BC8ED9E" w14:textId="77777777" w:rsidR="007C4571" w:rsidRPr="00AE36F0" w:rsidRDefault="007C4571" w:rsidP="007C4571">
      <w:pPr>
        <w:spacing w:line="264" w:lineRule="auto"/>
        <w:contextualSpacing/>
        <w:jc w:val="both"/>
        <w:rPr>
          <w:rFonts w:ascii="Montserrat" w:hAnsi="Montserrat" w:cs="Arial"/>
          <w:b/>
          <w:kern w:val="2"/>
        </w:rPr>
      </w:pPr>
    </w:p>
    <w:p w14:paraId="3650784D" w14:textId="77777777" w:rsidR="007C4571" w:rsidRPr="00AE36F0" w:rsidRDefault="007C4571" w:rsidP="007C4571">
      <w:pPr>
        <w:spacing w:line="264" w:lineRule="auto"/>
        <w:contextualSpacing/>
        <w:jc w:val="both"/>
        <w:rPr>
          <w:rFonts w:ascii="Montserrat" w:hAnsi="Montserrat" w:cs="Arial"/>
          <w:b/>
          <w:bCs/>
          <w:kern w:val="2"/>
        </w:rPr>
      </w:pPr>
      <w:r w:rsidRPr="00AE36F0">
        <w:rPr>
          <w:rFonts w:ascii="Montserrat" w:hAnsi="Montserrat"/>
          <w:b/>
          <w:bCs/>
        </w:rPr>
        <w:t>HR Ratings revisó al alza la calificación de HR AA- a HR AA y mantuvo la Perspectiva Estable para el Estado de Oaxaca</w:t>
      </w:r>
    </w:p>
    <w:p w14:paraId="4823FAC3" w14:textId="77777777" w:rsidR="007C4571" w:rsidRPr="00AE36F0" w:rsidRDefault="007C4571" w:rsidP="007C4571">
      <w:pPr>
        <w:spacing w:line="264" w:lineRule="auto"/>
        <w:contextualSpacing/>
        <w:jc w:val="both"/>
        <w:rPr>
          <w:rFonts w:ascii="Montserrat" w:hAnsi="Montserrat" w:cs="Arial"/>
          <w:b/>
          <w:kern w:val="2"/>
        </w:rPr>
      </w:pPr>
    </w:p>
    <w:p w14:paraId="2757EE0C"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HR Ratings revisó al alza la calificación soberana del Estado de Oaxaca, de HR AA- a HR AA, manteniendo la Perspectiva Estable.</w:t>
      </w:r>
    </w:p>
    <w:p w14:paraId="1FFC5399" w14:textId="77777777" w:rsidR="00B30F99" w:rsidRPr="00AE36F0" w:rsidRDefault="00B30F99" w:rsidP="007C4571">
      <w:pPr>
        <w:spacing w:line="264" w:lineRule="auto"/>
        <w:contextualSpacing/>
        <w:jc w:val="both"/>
        <w:rPr>
          <w:rFonts w:ascii="Montserrat" w:hAnsi="Montserrat" w:cs="Arial"/>
          <w:bCs/>
          <w:kern w:val="2"/>
        </w:rPr>
      </w:pPr>
    </w:p>
    <w:p w14:paraId="735408B7"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Se trata la máxima calificación crediticia que registra el Estado en la revisión en 2025.</w:t>
      </w:r>
    </w:p>
    <w:p w14:paraId="79DF43D2"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 </w:t>
      </w:r>
    </w:p>
    <w:p w14:paraId="0539CC80"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La opinión de la calificadora se concreta en los siguientes términos:</w:t>
      </w:r>
    </w:p>
    <w:p w14:paraId="1566EBB2" w14:textId="77777777" w:rsidR="007C4571" w:rsidRPr="00AE36F0" w:rsidRDefault="007C4571" w:rsidP="007C4571">
      <w:pPr>
        <w:spacing w:line="264" w:lineRule="auto"/>
        <w:contextualSpacing/>
        <w:jc w:val="both"/>
        <w:rPr>
          <w:rFonts w:ascii="Montserrat" w:hAnsi="Montserrat" w:cs="Arial"/>
          <w:bCs/>
          <w:kern w:val="2"/>
        </w:rPr>
      </w:pPr>
    </w:p>
    <w:p w14:paraId="286CD10D" w14:textId="77777777"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 xml:space="preserve">La revisión al alza obedece a la mejora constante de las métricas financieras, que se traduce en un nivel moderado manejable de la deuda pública con la expectativa continúe en los próximos años del periodo de esta administración. </w:t>
      </w:r>
    </w:p>
    <w:p w14:paraId="155EACB5" w14:textId="77777777" w:rsidR="00B30F99" w:rsidRPr="00AE36F0" w:rsidRDefault="00B30F99" w:rsidP="007C4571">
      <w:pPr>
        <w:jc w:val="both"/>
        <w:rPr>
          <w:rFonts w:ascii="Montserrat" w:eastAsia="Calibri" w:hAnsi="Montserrat" w:cs="Times New Roman"/>
          <w:kern w:val="2"/>
          <w14:ligatures w14:val="standardContextual"/>
        </w:rPr>
      </w:pPr>
    </w:p>
    <w:p w14:paraId="719C9AD7" w14:textId="77777777"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 xml:space="preserve">Para 2025, se anticipa un déficit en el Balance Primario (BP) de 2.0% de los Ingresos Totales (IT), en línea con la expectativa de un monto superior de Inversión Pública destinada a mejorar la infraestructura carretera y urbana del Estado. </w:t>
      </w:r>
    </w:p>
    <w:p w14:paraId="6612EF5B" w14:textId="77777777" w:rsidR="00B30F99" w:rsidRPr="00AE36F0" w:rsidRDefault="00B30F99" w:rsidP="007C4571">
      <w:pPr>
        <w:jc w:val="both"/>
        <w:rPr>
          <w:rFonts w:ascii="Montserrat" w:eastAsia="Calibri" w:hAnsi="Montserrat" w:cs="Times New Roman"/>
          <w:kern w:val="2"/>
          <w14:ligatures w14:val="standardContextual"/>
        </w:rPr>
      </w:pPr>
    </w:p>
    <w:p w14:paraId="1FED1003" w14:textId="6C146927"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HR Rating, resume como resultado de su evaluación, el Estado no incurrirá en la contratación de financiamiento de ningún plazo</w:t>
      </w:r>
    </w:p>
    <w:p w14:paraId="573E45E9" w14:textId="77777777" w:rsidR="00B30F99" w:rsidRPr="00AE36F0" w:rsidRDefault="00B30F99" w:rsidP="007C4571">
      <w:pPr>
        <w:jc w:val="both"/>
        <w:rPr>
          <w:rFonts w:ascii="Montserrat" w:eastAsia="Calibri" w:hAnsi="Montserrat" w:cs="Times New Roman"/>
          <w:b/>
          <w:bCs/>
          <w:kern w:val="2"/>
          <w14:ligatures w14:val="standardContextual"/>
        </w:rPr>
      </w:pPr>
    </w:p>
    <w:p w14:paraId="21C49779" w14:textId="542DFC37" w:rsidR="00B30F99"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b/>
          <w:bCs/>
          <w:kern w:val="2"/>
          <w14:ligatures w14:val="standardContextual"/>
        </w:rPr>
        <w:t>Los Ingresos Propios</w:t>
      </w:r>
      <w:r w:rsidRPr="00AE36F0">
        <w:rPr>
          <w:rFonts w:ascii="Montserrat" w:eastAsia="Calibri" w:hAnsi="Montserrat" w:cs="Times New Roman"/>
          <w:kern w:val="2"/>
          <w14:ligatures w14:val="standardContextual"/>
        </w:rPr>
        <w:t xml:space="preserve"> pasaron de P$5,050.4m en 2023 a P$6,570.9m en 2024, lo cual obedece a la tendencia positiva observada en la recaudación de Impuestos, Derechos y Productos. En primer lugar, el crecimiento que se observa en Impuestos corresponde directamente al alza en el Impuesto Sobre la Nómina (ISN), mismo que pasó de P$1,322.7m a P$1,572.7m</w:t>
      </w:r>
      <w:r w:rsidR="00B30F99" w:rsidRPr="00AE36F0">
        <w:rPr>
          <w:rFonts w:ascii="Montserrat" w:eastAsia="Calibri" w:hAnsi="Montserrat" w:cs="Times New Roman"/>
          <w:kern w:val="2"/>
          <w14:ligatures w14:val="standardContextual"/>
        </w:rPr>
        <w:t>.</w:t>
      </w:r>
    </w:p>
    <w:p w14:paraId="5A204B59" w14:textId="77777777" w:rsidR="00B30F99" w:rsidRPr="00AE36F0" w:rsidRDefault="00B30F99" w:rsidP="007C4571">
      <w:pPr>
        <w:jc w:val="both"/>
        <w:rPr>
          <w:rFonts w:ascii="Montserrat" w:eastAsia="Calibri" w:hAnsi="Montserrat" w:cs="Times New Roman"/>
          <w:kern w:val="2"/>
          <w14:ligatures w14:val="standardContextual"/>
        </w:rPr>
      </w:pPr>
    </w:p>
    <w:p w14:paraId="68ACE847" w14:textId="0DF3B981"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b/>
          <w:bCs/>
          <w:kern w:val="2"/>
          <w14:ligatures w14:val="standardContextual"/>
        </w:rPr>
        <w:t>El Gasto Total</w:t>
      </w:r>
      <w:r w:rsidRPr="00AE36F0">
        <w:rPr>
          <w:rFonts w:ascii="Montserrat" w:eastAsia="Calibri" w:hAnsi="Montserrat" w:cs="Times New Roman"/>
          <w:kern w:val="2"/>
          <w14:ligatures w14:val="standardContextual"/>
        </w:rPr>
        <w:t xml:space="preserve"> del Estado ascendió a P$108,970.4m en 2024, lo que representa una variación del 15.0% mayor al reportado en 2023, de los cuales </w:t>
      </w:r>
      <w:r w:rsidRPr="00AE36F0">
        <w:rPr>
          <w:rFonts w:ascii="Montserrat" w:eastAsia="Calibri" w:hAnsi="Montserrat" w:cs="Times New Roman"/>
          <w:kern w:val="2"/>
          <w14:ligatures w14:val="standardContextual"/>
        </w:rPr>
        <w:lastRenderedPageBreak/>
        <w:t xml:space="preserve">P$101,158.0m corresponden al Gasto Corriente, P$7,444.0m de Gasto de Inversión, mientras que únicamente P$368.4m corresponden a Otros Gastos. </w:t>
      </w:r>
    </w:p>
    <w:p w14:paraId="61AA1F8C" w14:textId="77777777" w:rsidR="00B30F99" w:rsidRPr="00AE36F0" w:rsidRDefault="00B30F99" w:rsidP="007C4571">
      <w:pPr>
        <w:jc w:val="both"/>
        <w:rPr>
          <w:rFonts w:ascii="Montserrat" w:eastAsia="Calibri" w:hAnsi="Montserrat" w:cs="Times New Roman"/>
          <w:b/>
          <w:bCs/>
          <w:kern w:val="2"/>
          <w14:ligatures w14:val="standardContextual"/>
        </w:rPr>
      </w:pPr>
    </w:p>
    <w:p w14:paraId="4C57CFF9" w14:textId="4B24E676" w:rsidR="007C4571" w:rsidRPr="00AE36F0" w:rsidRDefault="007C4571" w:rsidP="007C4571">
      <w:pPr>
        <w:jc w:val="both"/>
        <w:rPr>
          <w:rFonts w:ascii="Montserrat" w:eastAsia="Calibri" w:hAnsi="Montserrat" w:cs="Times New Roman"/>
          <w:b/>
          <w:bCs/>
          <w:kern w:val="2"/>
          <w14:ligatures w14:val="standardContextual"/>
        </w:rPr>
      </w:pPr>
      <w:r w:rsidRPr="00AE36F0">
        <w:rPr>
          <w:rFonts w:ascii="Montserrat" w:eastAsia="Calibri" w:hAnsi="Montserrat" w:cs="Times New Roman"/>
          <w:b/>
          <w:bCs/>
          <w:kern w:val="2"/>
          <w14:ligatures w14:val="standardContextual"/>
        </w:rPr>
        <w:t xml:space="preserve">Deuda </w:t>
      </w:r>
    </w:p>
    <w:p w14:paraId="65A3D115" w14:textId="77777777" w:rsidR="00B30F99" w:rsidRPr="00AE36F0" w:rsidRDefault="00B30F99" w:rsidP="007C4571">
      <w:pPr>
        <w:jc w:val="both"/>
        <w:rPr>
          <w:rFonts w:ascii="Montserrat" w:eastAsia="Calibri" w:hAnsi="Montserrat" w:cs="Times New Roman"/>
          <w:kern w:val="2"/>
          <w14:ligatures w14:val="standardContextual"/>
        </w:rPr>
      </w:pPr>
    </w:p>
    <w:p w14:paraId="5FD257AD" w14:textId="5689202A"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La Deuda Directa Ajustada (DDA) del Estado de Oaxaca en septiembre de 2025, ascendió a P$14,748.8m y se encuentra compuesta por 10 créditos estructurados de largo plazo. Adicionalmente, el Estado reporta deuda respaldada por Bono Cupón Cero por P$1,534.2m, con ello, la Deuda Consolidada reportada al tercer trimestre de 2025 ascendió a P$16,238.0m.</w:t>
      </w:r>
    </w:p>
    <w:p w14:paraId="373D0B4C" w14:textId="77777777" w:rsidR="002B48D3" w:rsidRPr="00AE36F0" w:rsidRDefault="002B48D3" w:rsidP="007C4571">
      <w:pPr>
        <w:jc w:val="both"/>
        <w:rPr>
          <w:rFonts w:ascii="Montserrat" w:eastAsia="Calibri" w:hAnsi="Montserrat" w:cs="Times New Roman"/>
          <w:kern w:val="2"/>
          <w14:ligatures w14:val="standardContextual"/>
        </w:rPr>
      </w:pPr>
    </w:p>
    <w:p w14:paraId="58F30AB6" w14:textId="77777777" w:rsidR="002B48D3"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Gobernanza: Superior • HR Ratings considera que los riesgos ante los cambios de administración son bajos, ya que en los últimos años se ha observado la continuidad de proyectos y políticas públicas. • Asimismo, no se identifican adeudos institucionales, ni laborales y/o mercantiles que pudieran presionar las finanzas públicas estatales, de acuerdo con la información más reciente compartida por las autoridades.</w:t>
      </w:r>
    </w:p>
    <w:p w14:paraId="2BBB6156" w14:textId="77777777" w:rsidR="002B48D3" w:rsidRPr="00AE36F0" w:rsidRDefault="002B48D3" w:rsidP="007C4571">
      <w:pPr>
        <w:jc w:val="both"/>
        <w:rPr>
          <w:rFonts w:ascii="Montserrat" w:eastAsia="Calibri" w:hAnsi="Montserrat" w:cs="Times New Roman"/>
          <w:kern w:val="2"/>
          <w14:ligatures w14:val="standardContextual"/>
        </w:rPr>
      </w:pPr>
    </w:p>
    <w:p w14:paraId="237A67FC" w14:textId="4E91F296" w:rsidR="007C4571" w:rsidRPr="00AE36F0" w:rsidRDefault="007C4571" w:rsidP="007C4571">
      <w:pPr>
        <w:jc w:val="both"/>
        <w:rPr>
          <w:rFonts w:ascii="Montserrat" w:eastAsia="Calibri" w:hAnsi="Montserrat" w:cs="Times New Roman"/>
          <w:kern w:val="2"/>
          <w14:ligatures w14:val="standardContextual"/>
        </w:rPr>
      </w:pPr>
      <w:r w:rsidRPr="00AE36F0">
        <w:rPr>
          <w:rFonts w:ascii="Montserrat" w:eastAsia="Calibri" w:hAnsi="Montserrat" w:cs="Times New Roman"/>
          <w:kern w:val="2"/>
          <w14:ligatures w14:val="standardContextual"/>
        </w:rPr>
        <w:t>Adicionalmente, la información financiera publicada en sus portales de transparencia se ha mantenido consistente, sumado a que es puntual y cuenta con un alto nivel de desglose, por consiguiente, el factor de gobernanza se evalúa como superior.</w:t>
      </w:r>
    </w:p>
    <w:p w14:paraId="2F6BCBF2" w14:textId="77777777" w:rsidR="002B48D3" w:rsidRPr="00AE36F0" w:rsidRDefault="002B48D3" w:rsidP="007C4571">
      <w:pPr>
        <w:jc w:val="both"/>
        <w:rPr>
          <w:rFonts w:ascii="Montserrat" w:eastAsia="Calibri" w:hAnsi="Montserrat" w:cs="Times New Roman"/>
          <w:kern w:val="2"/>
          <w14:ligatures w14:val="standardContextual"/>
        </w:rPr>
      </w:pPr>
    </w:p>
    <w:p w14:paraId="29F3E3BF" w14:textId="77777777" w:rsidR="007C4571" w:rsidRDefault="007C4571" w:rsidP="007C4571">
      <w:pPr>
        <w:jc w:val="both"/>
        <w:rPr>
          <w:rFonts w:ascii="Montserrat" w:hAnsi="Montserrat"/>
        </w:rPr>
      </w:pPr>
      <w:r w:rsidRPr="00AE36F0">
        <w:rPr>
          <w:rFonts w:ascii="Montserrat" w:hAnsi="Montserrat"/>
          <w:b/>
          <w:bCs/>
        </w:rPr>
        <w:t>Factores que podrían subir la calificación •</w:t>
      </w:r>
      <w:r w:rsidRPr="00AE36F0">
        <w:rPr>
          <w:rFonts w:ascii="Montserrat" w:hAnsi="Montserrat"/>
        </w:rPr>
        <w:t xml:space="preserve"> Reducción en el nivel de Deuda Neta Ajustada. Un crecimiento superior a lo proyectado en los Ingresos de Libre Disposición y/o un menor nivel de Gasto Corriente reflejarían un resultado fiscal superior a diferencia del déficit proyectado para 2025. </w:t>
      </w:r>
    </w:p>
    <w:p w14:paraId="2E890F09" w14:textId="77777777" w:rsidR="00AE36F0" w:rsidRPr="00AE36F0" w:rsidRDefault="00AE36F0" w:rsidP="007C4571">
      <w:pPr>
        <w:jc w:val="both"/>
        <w:rPr>
          <w:rFonts w:ascii="Montserrat" w:hAnsi="Montserrat"/>
        </w:rPr>
      </w:pPr>
    </w:p>
    <w:p w14:paraId="0C74EEE1" w14:textId="77777777" w:rsidR="007C4571" w:rsidRPr="00AE36F0" w:rsidRDefault="007C4571" w:rsidP="007C4571">
      <w:pPr>
        <w:jc w:val="both"/>
        <w:rPr>
          <w:rFonts w:ascii="Montserrat" w:hAnsi="Montserrat"/>
        </w:rPr>
      </w:pPr>
      <w:r w:rsidRPr="00AE36F0">
        <w:rPr>
          <w:rFonts w:ascii="Montserrat" w:hAnsi="Montserrat"/>
          <w:b/>
          <w:bCs/>
        </w:rPr>
        <w:t>Factores que podrían bajar la calificación •</w:t>
      </w:r>
      <w:r w:rsidRPr="00AE36F0">
        <w:rPr>
          <w:rFonts w:ascii="Montserrat" w:hAnsi="Montserrat"/>
        </w:rPr>
        <w:t xml:space="preserve"> Adquisición de financiamiento de corto plazo. HR Ratings no considera la adquisición de deuda de corto plazo. </w:t>
      </w:r>
    </w:p>
    <w:p w14:paraId="081374DB" w14:textId="77777777" w:rsidR="002B48D3" w:rsidRPr="00AE36F0" w:rsidRDefault="002B48D3" w:rsidP="007C4571">
      <w:pPr>
        <w:jc w:val="both"/>
        <w:rPr>
          <w:rFonts w:ascii="Montserrat" w:hAnsi="Montserrat"/>
        </w:rPr>
      </w:pPr>
    </w:p>
    <w:p w14:paraId="7CFCF511" w14:textId="77777777" w:rsidR="007C4571" w:rsidRPr="00AE36F0" w:rsidRDefault="007C4571" w:rsidP="007C4571">
      <w:pPr>
        <w:jc w:val="both"/>
        <w:rPr>
          <w:rFonts w:ascii="Montserrat" w:hAnsi="Montserrat"/>
        </w:rPr>
      </w:pPr>
      <w:r w:rsidRPr="00AE36F0">
        <w:rPr>
          <w:rFonts w:ascii="Montserrat" w:hAnsi="Montserrat"/>
        </w:rPr>
        <w:t xml:space="preserve">Incremento del Pasivo Circulante. En caso de que el Estado registre un déficit superior al esperado por una contracción en los Ingresos de Libre Disposición o por la presencia de un gasto extraordinario, lo cual impacte </w:t>
      </w:r>
      <w:r w:rsidRPr="00AE36F0">
        <w:rPr>
          <w:rFonts w:ascii="Montserrat" w:hAnsi="Montserrat"/>
        </w:rPr>
        <w:lastRenderedPageBreak/>
        <w:t xml:space="preserve">los niveles liquidez, esto podría hacer que la Entidad se apalancara a través de Proveedores y Contratistas. </w:t>
      </w:r>
    </w:p>
    <w:p w14:paraId="0F528A62" w14:textId="77777777" w:rsidR="007C4571" w:rsidRPr="00AE36F0" w:rsidRDefault="007C4571" w:rsidP="007C4571">
      <w:pPr>
        <w:spacing w:line="264" w:lineRule="auto"/>
        <w:contextualSpacing/>
        <w:jc w:val="both"/>
        <w:rPr>
          <w:rFonts w:ascii="Montserrat" w:hAnsi="Montserrat" w:cs="Arial"/>
          <w:bCs/>
          <w:kern w:val="2"/>
        </w:rPr>
      </w:pPr>
    </w:p>
    <w:p w14:paraId="1E8AA86D"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MOODY'S (noviembre 27, 2025).</w:t>
      </w:r>
    </w:p>
    <w:p w14:paraId="486C2B26" w14:textId="77777777" w:rsidR="007C4571" w:rsidRPr="00AE36F0" w:rsidRDefault="007C4571" w:rsidP="007C4571">
      <w:pPr>
        <w:spacing w:line="264" w:lineRule="auto"/>
        <w:contextualSpacing/>
        <w:jc w:val="both"/>
        <w:rPr>
          <w:rFonts w:ascii="Montserrat" w:hAnsi="Montserrat"/>
          <w:b/>
          <w:bCs/>
        </w:rPr>
      </w:pPr>
    </w:p>
    <w:p w14:paraId="78C02A91" w14:textId="77777777" w:rsidR="007C4571" w:rsidRPr="00AE36F0" w:rsidRDefault="007C4571" w:rsidP="007C4571">
      <w:pPr>
        <w:spacing w:line="264" w:lineRule="auto"/>
        <w:contextualSpacing/>
        <w:jc w:val="both"/>
        <w:rPr>
          <w:rFonts w:ascii="Montserrat" w:hAnsi="Montserrat"/>
          <w:b/>
          <w:bCs/>
        </w:rPr>
      </w:pPr>
      <w:r w:rsidRPr="00AE36F0">
        <w:rPr>
          <w:rFonts w:ascii="Montserrat" w:hAnsi="Montserrat"/>
          <w:b/>
          <w:bCs/>
        </w:rPr>
        <w:t>Moody's Local MX S.A. de C.V., I.C.V. ("Moody's Local México") subió la calificación de emisor en moneda local a largo plazo a A.mx desde un nivel de A-.mx, manteniendo la perspectiva estable.</w:t>
      </w:r>
    </w:p>
    <w:p w14:paraId="7F2DEDBD" w14:textId="77777777" w:rsidR="007C4571" w:rsidRPr="00AE36F0" w:rsidRDefault="007C4571" w:rsidP="007C4571">
      <w:pPr>
        <w:spacing w:line="264" w:lineRule="auto"/>
        <w:contextualSpacing/>
        <w:jc w:val="both"/>
        <w:rPr>
          <w:rFonts w:ascii="Montserrat" w:hAnsi="Montserrat" w:cs="Arial"/>
          <w:b/>
          <w:bCs/>
          <w:kern w:val="2"/>
        </w:rPr>
      </w:pPr>
    </w:p>
    <w:p w14:paraId="20066F9C"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b/>
          <w:bCs/>
        </w:rPr>
        <w:t>Fundamentos de la calificación.</w:t>
      </w:r>
      <w:r w:rsidRPr="00AE36F0">
        <w:rPr>
          <w:rFonts w:ascii="Montserrat" w:hAnsi="Montserrat"/>
        </w:rPr>
        <w:t xml:space="preserve"> </w:t>
      </w:r>
    </w:p>
    <w:p w14:paraId="31F48891" w14:textId="77777777" w:rsidR="007C4571" w:rsidRPr="00AE36F0" w:rsidRDefault="007C4571" w:rsidP="007C4571">
      <w:pPr>
        <w:spacing w:line="264" w:lineRule="auto"/>
        <w:contextualSpacing/>
        <w:jc w:val="both"/>
        <w:rPr>
          <w:rFonts w:ascii="Montserrat" w:hAnsi="Montserrat"/>
        </w:rPr>
      </w:pPr>
    </w:p>
    <w:p w14:paraId="0D27F4CD"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El alza en la calificación crediticia para el Estado de Oaxaca, Moody’s hace referencia a una mejora en las principales métricas crediticias de Oaxaca, especialmente los márgenes operativos, resultados financieros y la liquidez. Entre 2022 y 2024 el superávit operativo de Oaxaca fue equivalente en promedio al 5.7% de los ingresos operativos. </w:t>
      </w:r>
    </w:p>
    <w:p w14:paraId="31AD0977" w14:textId="77777777" w:rsidR="002B48D3" w:rsidRPr="00AE36F0" w:rsidRDefault="002B48D3" w:rsidP="007C4571">
      <w:pPr>
        <w:spacing w:line="264" w:lineRule="auto"/>
        <w:contextualSpacing/>
        <w:jc w:val="both"/>
        <w:rPr>
          <w:rFonts w:ascii="Montserrat" w:hAnsi="Montserrat"/>
        </w:rPr>
      </w:pPr>
    </w:p>
    <w:p w14:paraId="50E712F2"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Asimismo, resalta que el Estado, en el periodo 2022 a 2024, el incremento de los Ingresos Propios, resalta la observación de un incremento en la recaudación local, pues el indicador de ingresos propios respecto a ingresos operativos pasó de 11.2% en 2022 a 15.2% en 2024. </w:t>
      </w:r>
    </w:p>
    <w:p w14:paraId="4BCEA9C7" w14:textId="77777777" w:rsidR="007C4571" w:rsidRPr="00AE36F0" w:rsidRDefault="007C4571" w:rsidP="007C4571">
      <w:pPr>
        <w:spacing w:line="264" w:lineRule="auto"/>
        <w:contextualSpacing/>
        <w:jc w:val="both"/>
        <w:rPr>
          <w:rFonts w:ascii="Montserrat" w:hAnsi="Montserrat" w:cs="Arial"/>
          <w:bCs/>
          <w:kern w:val="2"/>
        </w:rPr>
      </w:pPr>
    </w:p>
    <w:p w14:paraId="5254054B"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7C5BEB74" w14:textId="77777777" w:rsidR="007C4571" w:rsidRPr="00AE36F0" w:rsidRDefault="007C4571" w:rsidP="007C4571">
      <w:pPr>
        <w:spacing w:line="264" w:lineRule="auto"/>
        <w:contextualSpacing/>
        <w:jc w:val="both"/>
        <w:rPr>
          <w:rFonts w:ascii="Montserrat" w:hAnsi="Montserrat" w:cs="Arial"/>
          <w:bCs/>
          <w:kern w:val="2"/>
        </w:rPr>
      </w:pPr>
    </w:p>
    <w:p w14:paraId="6D64BFD8"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Balances financieros positivos y equivalentes en promedio al 1.6 %, en los últimos 5 (cinco) años.</w:t>
      </w:r>
    </w:p>
    <w:p w14:paraId="78D8BD6B" w14:textId="77777777" w:rsidR="002B48D3" w:rsidRPr="00AE36F0" w:rsidRDefault="002B48D3" w:rsidP="007C4571">
      <w:pPr>
        <w:spacing w:line="264" w:lineRule="auto"/>
        <w:contextualSpacing/>
        <w:jc w:val="both"/>
        <w:rPr>
          <w:rFonts w:ascii="Montserrat" w:hAnsi="Montserrat" w:cs="Arial"/>
          <w:bCs/>
          <w:kern w:val="2"/>
        </w:rPr>
      </w:pPr>
    </w:p>
    <w:p w14:paraId="4D20A14D"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Los superávits financieros del Estado respaldaron una mejora en la liquidez.</w:t>
      </w:r>
    </w:p>
    <w:p w14:paraId="77D8ED19"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cs="Arial"/>
          <w:bCs/>
          <w:kern w:val="2"/>
        </w:rPr>
        <w:lastRenderedPageBreak/>
        <w:t xml:space="preserve">Otro aspecto importante que analizó Moody’s fue la disminución del nivel de endeudamiento total, pasando de ser equivalente al 61.9 % de los ingresos operativos en 2020 al 43.1% en 2024. </w:t>
      </w:r>
      <w:r w:rsidRPr="00AE36F0">
        <w:rPr>
          <w:rFonts w:ascii="Montserrat" w:hAnsi="Montserrat"/>
        </w:rPr>
        <w:t xml:space="preserve">Destacando también la eliminación del uso de créditos de corto plazo. En 2024 el estado realizó un proceso de refinanciamiento de la mayor parte de su deuda a largo plazo, lo que permitió mejorar el perfil financiero de su deuda. </w:t>
      </w:r>
    </w:p>
    <w:p w14:paraId="580CC806" w14:textId="77777777" w:rsidR="007C4571" w:rsidRPr="00AE36F0" w:rsidRDefault="007C4571" w:rsidP="007C4571">
      <w:pPr>
        <w:spacing w:line="264" w:lineRule="auto"/>
        <w:contextualSpacing/>
        <w:jc w:val="both"/>
        <w:rPr>
          <w:rFonts w:ascii="Montserrat" w:hAnsi="Montserrat"/>
        </w:rPr>
      </w:pPr>
    </w:p>
    <w:p w14:paraId="7D627667"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Factores que pueden generar una mejora de la calificación En caso de que se observe un incremento sostenido de ingresos propios que fortalezca aún más los balances operativos, o que se registren balances financieros mayores a los proyectados, la calificación de emisor podría presentar presiones al alza. </w:t>
      </w:r>
    </w:p>
    <w:p w14:paraId="456540A8" w14:textId="77777777" w:rsidR="007C4571" w:rsidRPr="00AE36F0" w:rsidRDefault="007C4571" w:rsidP="007C4571">
      <w:pPr>
        <w:spacing w:line="264" w:lineRule="auto"/>
        <w:contextualSpacing/>
        <w:jc w:val="both"/>
        <w:rPr>
          <w:rFonts w:ascii="Montserrat" w:hAnsi="Montserrat"/>
        </w:rPr>
      </w:pPr>
    </w:p>
    <w:p w14:paraId="586E54F5"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rPr>
        <w:t>Factores que pueden generar un deterioro de la calificación En caso de que se presente un deterioro importante en los balances operativos y financieros, o una caída significativa en la liquidez con uso de deuda de corto plazo, la calificación de emisor podría enfrentar presiones a la baja.</w:t>
      </w:r>
    </w:p>
    <w:p w14:paraId="1BBE125F" w14:textId="77777777" w:rsidR="007C4571" w:rsidRPr="00AE36F0" w:rsidRDefault="007C4571" w:rsidP="007C4571">
      <w:pPr>
        <w:spacing w:line="264" w:lineRule="auto"/>
        <w:contextualSpacing/>
        <w:jc w:val="both"/>
        <w:rPr>
          <w:rFonts w:ascii="Montserrat" w:hAnsi="Montserrat" w:cs="Arial"/>
          <w:bCs/>
          <w:kern w:val="2"/>
        </w:rPr>
      </w:pPr>
    </w:p>
    <w:p w14:paraId="2D2A77DE" w14:textId="77777777" w:rsidR="007C4571" w:rsidRPr="00AE36F0" w:rsidRDefault="007C4571" w:rsidP="007C4571">
      <w:pPr>
        <w:jc w:val="both"/>
        <w:rPr>
          <w:rFonts w:ascii="Montserrat" w:hAnsi="Montserrat" w:cs="Arial"/>
          <w:b/>
          <w:kern w:val="2"/>
        </w:rPr>
      </w:pPr>
      <w:r w:rsidRPr="00AE36F0">
        <w:rPr>
          <w:rFonts w:ascii="Montserrat" w:hAnsi="Montserrat" w:cs="Arial"/>
          <w:b/>
          <w:kern w:val="2"/>
        </w:rPr>
        <w:t xml:space="preserve">STANDARD </w:t>
      </w:r>
      <w:r w:rsidRPr="00AE36F0">
        <w:rPr>
          <w:rFonts w:ascii="Montserrat" w:hAnsi="Montserrat" w:cs="Arial"/>
          <w:b/>
          <w:bCs/>
          <w:kern w:val="2"/>
        </w:rPr>
        <w:t>&amp;</w:t>
      </w:r>
      <w:r w:rsidRPr="00AE36F0">
        <w:rPr>
          <w:rFonts w:ascii="Montserrat" w:hAnsi="Montserrat" w:cs="Arial"/>
          <w:b/>
          <w:kern w:val="2"/>
        </w:rPr>
        <w:t xml:space="preserve"> POOR’S (</w:t>
      </w:r>
      <w:proofErr w:type="gramStart"/>
      <w:r w:rsidRPr="00AE36F0">
        <w:rPr>
          <w:rFonts w:ascii="Montserrat" w:hAnsi="Montserrat" w:cs="Arial"/>
          <w:b/>
          <w:kern w:val="2"/>
        </w:rPr>
        <w:t>Diciembre</w:t>
      </w:r>
      <w:proofErr w:type="gramEnd"/>
      <w:r w:rsidRPr="00AE36F0">
        <w:rPr>
          <w:rFonts w:ascii="Montserrat" w:hAnsi="Montserrat" w:cs="Arial"/>
          <w:b/>
          <w:kern w:val="2"/>
        </w:rPr>
        <w:t xml:space="preserve"> 04, 2025).</w:t>
      </w:r>
    </w:p>
    <w:p w14:paraId="2A62AEC6" w14:textId="77777777" w:rsidR="002B48D3" w:rsidRPr="00AE36F0" w:rsidRDefault="002B48D3" w:rsidP="007C4571">
      <w:pPr>
        <w:jc w:val="both"/>
        <w:rPr>
          <w:rFonts w:ascii="Montserrat" w:hAnsi="Montserrat" w:cs="Arial"/>
          <w:b/>
          <w:kern w:val="2"/>
        </w:rPr>
      </w:pPr>
    </w:p>
    <w:p w14:paraId="51454C86"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S&amp;P </w:t>
      </w:r>
      <w:proofErr w:type="spellStart"/>
      <w:r w:rsidRPr="00AE36F0">
        <w:rPr>
          <w:rFonts w:ascii="Montserrat" w:hAnsi="Montserrat"/>
        </w:rPr>
        <w:t>National</w:t>
      </w:r>
      <w:proofErr w:type="spellEnd"/>
      <w:r w:rsidRPr="00AE36F0">
        <w:rPr>
          <w:rFonts w:ascii="Montserrat" w:hAnsi="Montserrat"/>
        </w:rPr>
        <w:t xml:space="preserve"> Ratings subió calificación a ‘</w:t>
      </w:r>
      <w:proofErr w:type="spellStart"/>
      <w:r w:rsidRPr="00AE36F0">
        <w:rPr>
          <w:rFonts w:ascii="Montserrat" w:hAnsi="Montserrat"/>
        </w:rPr>
        <w:t>mxA</w:t>
      </w:r>
      <w:proofErr w:type="spellEnd"/>
      <w:r w:rsidRPr="00AE36F0">
        <w:rPr>
          <w:rFonts w:ascii="Montserrat" w:hAnsi="Montserrat"/>
        </w:rPr>
        <w:t>+’ desde ‘</w:t>
      </w:r>
      <w:proofErr w:type="spellStart"/>
      <w:r w:rsidRPr="00AE36F0">
        <w:rPr>
          <w:rFonts w:ascii="Montserrat" w:hAnsi="Montserrat"/>
        </w:rPr>
        <w:t>mxA’del</w:t>
      </w:r>
      <w:proofErr w:type="spellEnd"/>
      <w:r w:rsidRPr="00AE36F0">
        <w:rPr>
          <w:rFonts w:ascii="Montserrat" w:hAnsi="Montserrat"/>
        </w:rPr>
        <w:t xml:space="preserve"> Estado de Oaxaca por fortalecimiento financiero; la Perspectiva la mantiene Es estable.</w:t>
      </w:r>
    </w:p>
    <w:p w14:paraId="6A959874" w14:textId="77777777" w:rsidR="007C4571" w:rsidRPr="00AE36F0" w:rsidRDefault="007C4571" w:rsidP="007C4571">
      <w:pPr>
        <w:spacing w:line="264" w:lineRule="auto"/>
        <w:contextualSpacing/>
        <w:jc w:val="both"/>
        <w:rPr>
          <w:rFonts w:ascii="Montserrat" w:hAnsi="Montserrat" w:cs="Arial"/>
          <w:b/>
          <w:kern w:val="2"/>
        </w:rPr>
      </w:pPr>
    </w:p>
    <w:p w14:paraId="080689F0"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Standard &amp; Poor’s, motiva en forma resumida 4 (cuatro) aspectos que consideró para emitir al alza la calificación de riesgo crediticio para el Estado de Oaxaca.</w:t>
      </w:r>
    </w:p>
    <w:p w14:paraId="7DE66FF6" w14:textId="77777777" w:rsidR="007C4571" w:rsidRPr="00AE36F0" w:rsidRDefault="007C4571" w:rsidP="007C4571">
      <w:pPr>
        <w:spacing w:line="264" w:lineRule="auto"/>
        <w:contextualSpacing/>
        <w:jc w:val="both"/>
        <w:rPr>
          <w:rFonts w:ascii="Montserrat" w:hAnsi="Montserrat"/>
        </w:rPr>
      </w:pPr>
    </w:p>
    <w:p w14:paraId="0C621DEA"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El alza de calificación del Estado de Oaxaca refleja su fortalecimiento financiero, principalmente por el aumento de sus recursos propios, que permitiría ejecutar sus planes de infraestructura. </w:t>
      </w:r>
    </w:p>
    <w:p w14:paraId="2B226311"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Esperamos que el crecimiento económico del Estado se mantenga dinámico, gracias a los proyectos del Corredor Interoceánico del Istmo de Tehuantepec (CIIT). </w:t>
      </w:r>
    </w:p>
    <w:p w14:paraId="3C8AAEE7" w14:textId="77777777" w:rsidR="002B48D3" w:rsidRPr="00AE36F0" w:rsidRDefault="002B48D3" w:rsidP="007C4571">
      <w:pPr>
        <w:spacing w:line="264" w:lineRule="auto"/>
        <w:contextualSpacing/>
        <w:jc w:val="both"/>
        <w:rPr>
          <w:rFonts w:ascii="Montserrat" w:hAnsi="Montserrat"/>
        </w:rPr>
      </w:pPr>
    </w:p>
    <w:p w14:paraId="613F3A79"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El 4 de diciembre de 2025, subimos nuestra calificación crediticia de emisor de largo plazo en escala nacional a ‘mxA+’ desde ‘mxA’ del Estado de Oaxaca. La perspectiva es estable. </w:t>
      </w:r>
    </w:p>
    <w:p w14:paraId="457BD0DD" w14:textId="77777777" w:rsidR="002B48D3" w:rsidRPr="00AE36F0" w:rsidRDefault="002B48D3" w:rsidP="007C4571">
      <w:pPr>
        <w:spacing w:line="264" w:lineRule="auto"/>
        <w:contextualSpacing/>
        <w:jc w:val="both"/>
        <w:rPr>
          <w:rFonts w:ascii="Montserrat" w:hAnsi="Montserrat"/>
        </w:rPr>
      </w:pPr>
    </w:p>
    <w:p w14:paraId="51B30FBE"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La perspectiva estable refleja nuestra expectativa de que, durante los próximos 12 meses, Oaxaca reporte balances fiscales equilibrados, que le permitan ejecutar sus planes de infraestructura sin deteriorar sus reservas de efectivo.</w:t>
      </w:r>
    </w:p>
    <w:p w14:paraId="731BF3A6" w14:textId="77777777" w:rsidR="002B48D3" w:rsidRPr="00AE36F0" w:rsidRDefault="002B48D3" w:rsidP="007C4571">
      <w:pPr>
        <w:spacing w:line="264" w:lineRule="auto"/>
        <w:contextualSpacing/>
        <w:jc w:val="both"/>
        <w:rPr>
          <w:rFonts w:ascii="Montserrat" w:hAnsi="Montserrat"/>
        </w:rPr>
      </w:pPr>
    </w:p>
    <w:p w14:paraId="5D6FD96B"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Escenario negativo. La calificadora tomaría la decisión de una baja de la calificación si el desempeño presupuestal del Estado se deteriora debido a una presión del gasto mayor a la esperada o una disminución de los ingresos que determinaría una posición de liquidez acotada.</w:t>
      </w:r>
    </w:p>
    <w:p w14:paraId="26F4BF34"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w:t>
      </w:r>
    </w:p>
    <w:p w14:paraId="2458AE9C" w14:textId="77777777" w:rsidR="002B48D3" w:rsidRPr="00AE36F0" w:rsidRDefault="007C4571" w:rsidP="007C4571">
      <w:pPr>
        <w:spacing w:line="264" w:lineRule="auto"/>
        <w:contextualSpacing/>
        <w:jc w:val="both"/>
        <w:rPr>
          <w:rFonts w:ascii="Montserrat" w:hAnsi="Montserrat"/>
        </w:rPr>
      </w:pPr>
      <w:r w:rsidRPr="00AE36F0">
        <w:rPr>
          <w:rFonts w:ascii="Montserrat" w:hAnsi="Montserrat"/>
        </w:rPr>
        <w:t>Escenario positivo Podríamos tomar una acción de calificación positiva en los próximos 12 a 18 meses si Oaxaca logra un crecimiento económico sostenido y esto se refleja en mayores ingresos propios, especialmente en el impuesto sobre nóminas (ISN). Esto sucedería si registra lo siguiente:</w:t>
      </w:r>
    </w:p>
    <w:p w14:paraId="267BA2A2" w14:textId="77777777" w:rsidR="002B48D3" w:rsidRPr="00AE36F0" w:rsidRDefault="002B48D3" w:rsidP="007C4571">
      <w:pPr>
        <w:spacing w:line="264" w:lineRule="auto"/>
        <w:contextualSpacing/>
        <w:jc w:val="both"/>
        <w:rPr>
          <w:rFonts w:ascii="Montserrat" w:hAnsi="Montserrat"/>
        </w:rPr>
      </w:pPr>
    </w:p>
    <w:p w14:paraId="49E585D7" w14:textId="792F4BCB"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 Ingresos propios en torno a 10% de sus ingresos totales de manera sostenida, y </w:t>
      </w:r>
    </w:p>
    <w:p w14:paraId="054C566F"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rPr>
        <w:t>• Crecimiento económico de mediano plazo, por encima de la media nacional.</w:t>
      </w:r>
    </w:p>
    <w:p w14:paraId="5C9CA52F" w14:textId="77777777" w:rsidR="007C4571" w:rsidRPr="00AE36F0" w:rsidRDefault="007C4571" w:rsidP="007C4571">
      <w:pPr>
        <w:spacing w:line="264" w:lineRule="auto"/>
        <w:contextualSpacing/>
        <w:jc w:val="both"/>
        <w:rPr>
          <w:rFonts w:ascii="Montserrat" w:hAnsi="Montserrat" w:cs="Arial"/>
          <w:kern w:val="2"/>
        </w:rPr>
      </w:pPr>
    </w:p>
    <w:p w14:paraId="5CA5E877"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FITCH RATINGS (octubre 28, 2025).</w:t>
      </w:r>
    </w:p>
    <w:p w14:paraId="63D3F5A5" w14:textId="77777777" w:rsidR="007C4571" w:rsidRPr="00AE36F0" w:rsidRDefault="007C4571" w:rsidP="007C4571">
      <w:pPr>
        <w:spacing w:line="264" w:lineRule="auto"/>
        <w:contextualSpacing/>
        <w:jc w:val="both"/>
        <w:rPr>
          <w:rFonts w:ascii="Montserrat" w:hAnsi="Montserrat" w:cs="Arial"/>
          <w:b/>
          <w:kern w:val="2"/>
        </w:rPr>
      </w:pPr>
    </w:p>
    <w:p w14:paraId="5583AD22"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Fitch Ratings subió la calificación nacional de largo plazo del Estado de Oaxaca a ‘AA-(mex)’</w:t>
      </w:r>
      <w:r w:rsidRPr="00AE36F0">
        <w:rPr>
          <w:rFonts w:ascii="Montserrat" w:hAnsi="Montserrat" w:cs="Arial"/>
          <w:bCs/>
          <w:kern w:val="2"/>
        </w:rPr>
        <w:t xml:space="preserve"> </w:t>
      </w:r>
      <w:r w:rsidRPr="00AE36F0">
        <w:rPr>
          <w:rFonts w:ascii="Montserrat" w:hAnsi="Montserrat" w:cs="Arial"/>
          <w:b/>
          <w:kern w:val="2"/>
        </w:rPr>
        <w:t>Perspectiva Estable</w:t>
      </w:r>
      <w:r w:rsidRPr="00AE36F0">
        <w:rPr>
          <w:rFonts w:ascii="Montserrat" w:hAnsi="Montserrat" w:cs="Arial"/>
          <w:bCs/>
          <w:kern w:val="2"/>
        </w:rPr>
        <w:t xml:space="preserve"> </w:t>
      </w:r>
      <w:r w:rsidRPr="00AE36F0">
        <w:rPr>
          <w:rFonts w:ascii="Montserrat" w:hAnsi="Montserrat" w:cs="Arial"/>
          <w:b/>
          <w:kern w:val="2"/>
        </w:rPr>
        <w:t>de ‘A+ (mex)’ Perspectiva Positiva.</w:t>
      </w:r>
    </w:p>
    <w:p w14:paraId="3795C44C" w14:textId="77777777" w:rsidR="007C4571" w:rsidRPr="00AE36F0" w:rsidRDefault="007C4571" w:rsidP="007C4571">
      <w:pPr>
        <w:spacing w:line="264" w:lineRule="auto"/>
        <w:contextualSpacing/>
        <w:jc w:val="both"/>
        <w:rPr>
          <w:rFonts w:ascii="Montserrat" w:hAnsi="Montserrat" w:cs="Arial"/>
          <w:b/>
          <w:kern w:val="2"/>
        </w:rPr>
      </w:pPr>
    </w:p>
    <w:p w14:paraId="07987460"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La mejora en la calificación se sustenta en el fortalecimiento de la posición de liquidez del estado por tercer año consecutivo lo que llevó a modificar </w:t>
      </w:r>
      <w:r w:rsidRPr="00AE36F0">
        <w:rPr>
          <w:rFonts w:ascii="Montserrat" w:hAnsi="Montserrat"/>
        </w:rPr>
        <w:lastRenderedPageBreak/>
        <w:t>el factor clave de riesgo (FCR) de flexibilidad de pasivos y liquidez a ‘Rango Medio’ desde ‘Más Débil’. Al mismo tiempo, la nueva mezcla de FCR se tradujo en una reevaluación del perfil de riesgo a ‘Rango Medio Bajo’ desde ‘Más Débil’. La calificación también considera un perfil financiero en ‘</w:t>
      </w:r>
      <w:proofErr w:type="spellStart"/>
      <w:r w:rsidRPr="00AE36F0">
        <w:rPr>
          <w:rFonts w:ascii="Montserrat" w:hAnsi="Montserrat"/>
        </w:rPr>
        <w:t>aa</w:t>
      </w:r>
      <w:proofErr w:type="spellEnd"/>
      <w:r w:rsidRPr="00AE36F0">
        <w:rPr>
          <w:rFonts w:ascii="Montserrat" w:hAnsi="Montserrat"/>
        </w:rPr>
        <w:t>’, la incorporación de otros factores de riesgo adicionales y un posicionamiento acorde con pares calificados en la categoría ‘</w:t>
      </w:r>
      <w:proofErr w:type="gramStart"/>
      <w:r w:rsidRPr="00AE36F0">
        <w:rPr>
          <w:rFonts w:ascii="Montserrat" w:hAnsi="Montserrat"/>
        </w:rPr>
        <w:t>AA(</w:t>
      </w:r>
      <w:proofErr w:type="gramEnd"/>
      <w:r w:rsidRPr="00AE36F0">
        <w:rPr>
          <w:rFonts w:ascii="Montserrat" w:hAnsi="Montserrat"/>
        </w:rPr>
        <w:t xml:space="preserve">mex)’. </w:t>
      </w:r>
    </w:p>
    <w:p w14:paraId="7EB53567" w14:textId="77777777" w:rsidR="007C4571" w:rsidRPr="00AE36F0" w:rsidRDefault="007C4571" w:rsidP="007C4571">
      <w:pPr>
        <w:spacing w:line="264" w:lineRule="auto"/>
        <w:contextualSpacing/>
        <w:jc w:val="both"/>
        <w:rPr>
          <w:rFonts w:ascii="Montserrat" w:hAnsi="Montserrat"/>
        </w:rPr>
      </w:pPr>
    </w:p>
    <w:p w14:paraId="08CEA8E8"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La Perspectiva Estable refleja la expectativa de la agencia de que la entidad mantendrá la evaluación del perfil financiero, con una métrica de repago inferior a 5 veces (x) y una cobertura real del servicio de la deuda (CRSD) entre 1.5x y 2x.</w:t>
      </w:r>
    </w:p>
    <w:p w14:paraId="7B3282C0" w14:textId="77777777" w:rsidR="007C4571" w:rsidRPr="00AE36F0" w:rsidRDefault="007C4571" w:rsidP="007C4571">
      <w:pPr>
        <w:spacing w:line="264" w:lineRule="auto"/>
        <w:contextualSpacing/>
        <w:jc w:val="both"/>
        <w:rPr>
          <w:rFonts w:ascii="Montserrat" w:hAnsi="Montserrat"/>
        </w:rPr>
      </w:pPr>
    </w:p>
    <w:p w14:paraId="5BCF01F9"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Ingresos (Solidez) – ‘Rango Medio’: La evaluación en ‘Rango Medio’ se debe a que Fitch considera que el marco institucional para la asignación de transferencias federales a subnacionales y su evolución son estables y predecibles. </w:t>
      </w:r>
    </w:p>
    <w:p w14:paraId="2F8BA1F9" w14:textId="77777777" w:rsidR="007C4571" w:rsidRPr="00AE36F0" w:rsidRDefault="007C4571" w:rsidP="007C4571">
      <w:pPr>
        <w:spacing w:line="264" w:lineRule="auto"/>
        <w:contextualSpacing/>
        <w:jc w:val="both"/>
        <w:rPr>
          <w:rFonts w:ascii="Montserrat" w:hAnsi="Montserrat"/>
        </w:rPr>
      </w:pPr>
    </w:p>
    <w:p w14:paraId="1AD1923E"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Ingresos (Adaptabilidad) – ‘Más Débil’: Fitch considera que la flexibilidad para ajustar el ingreso es ‘Más Débil’ dada la dependencia elevada de transferencias federales, característica estructural de las entidades subnacionales en México debido al marco de coordinación y descentralización fiscal. </w:t>
      </w:r>
    </w:p>
    <w:p w14:paraId="74E4249E" w14:textId="77777777" w:rsidR="007C4571" w:rsidRPr="00AE36F0" w:rsidRDefault="007C4571" w:rsidP="007C4571">
      <w:pPr>
        <w:spacing w:line="264" w:lineRule="auto"/>
        <w:contextualSpacing/>
        <w:jc w:val="both"/>
        <w:rPr>
          <w:rFonts w:ascii="Montserrat" w:hAnsi="Montserrat"/>
        </w:rPr>
      </w:pPr>
    </w:p>
    <w:p w14:paraId="6F5DC844"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Gastos (Sostenibilidad) – ‘Rango Medio’: Fitch evalúa este FCR en ‘Rango Medio’ dado que Oaxaca tiene responsabilidades del gasto, tales como educación, salud, seguridad pública, entre otras, consideradas moderadamente </w:t>
      </w:r>
      <w:proofErr w:type="spellStart"/>
      <w:r w:rsidRPr="00AE36F0">
        <w:rPr>
          <w:rFonts w:ascii="Montserrat" w:hAnsi="Montserrat"/>
        </w:rPr>
        <w:t>contracíclicas</w:t>
      </w:r>
      <w:proofErr w:type="spellEnd"/>
      <w:r w:rsidRPr="00AE36F0">
        <w:rPr>
          <w:rFonts w:ascii="Montserrat" w:hAnsi="Montserrat"/>
        </w:rPr>
        <w:t xml:space="preserve">. </w:t>
      </w:r>
    </w:p>
    <w:p w14:paraId="7BD8D71B" w14:textId="77777777" w:rsidR="007C4571" w:rsidRPr="00AE36F0" w:rsidRDefault="007C4571" w:rsidP="007C4571">
      <w:pPr>
        <w:spacing w:line="264" w:lineRule="auto"/>
        <w:contextualSpacing/>
        <w:jc w:val="both"/>
        <w:rPr>
          <w:rFonts w:ascii="Montserrat" w:hAnsi="Montserrat"/>
        </w:rPr>
      </w:pPr>
    </w:p>
    <w:p w14:paraId="2C1B975E" w14:textId="77777777" w:rsidR="00DE049C" w:rsidRDefault="007C4571" w:rsidP="007C4571">
      <w:pPr>
        <w:spacing w:line="264" w:lineRule="auto"/>
        <w:contextualSpacing/>
        <w:jc w:val="both"/>
        <w:rPr>
          <w:rFonts w:ascii="Montserrat" w:hAnsi="Montserrat"/>
        </w:rPr>
      </w:pPr>
      <w:r w:rsidRPr="00AE36F0">
        <w:rPr>
          <w:rFonts w:ascii="Montserrat" w:hAnsi="Montserrat"/>
        </w:rPr>
        <w:t xml:space="preserve">Pasivos y Liquidez (Solidez) – ‘Rango Medio’: El marco nacional para el manejo de la deuda y liquidez se considera moderado. El Sistema de </w:t>
      </w:r>
    </w:p>
    <w:p w14:paraId="196F820E" w14:textId="77777777" w:rsidR="00DE049C" w:rsidRDefault="00DE049C" w:rsidP="007C4571">
      <w:pPr>
        <w:spacing w:line="264" w:lineRule="auto"/>
        <w:contextualSpacing/>
        <w:jc w:val="both"/>
        <w:rPr>
          <w:rFonts w:ascii="Montserrat" w:hAnsi="Montserrat"/>
        </w:rPr>
      </w:pPr>
    </w:p>
    <w:p w14:paraId="48C11122" w14:textId="398AB5DC"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Alertas de la Secretaría de Hacienda y Crédito Público (SHCP), al cierre de 2024 y con avance al primer semestre de 2025, clasificó el endeudamiento </w:t>
      </w:r>
      <w:r w:rsidRPr="00AE36F0">
        <w:rPr>
          <w:rFonts w:ascii="Montserrat" w:hAnsi="Montserrat"/>
        </w:rPr>
        <w:lastRenderedPageBreak/>
        <w:t>de Oaxaca como sostenible. Esto le permite, de acuerdo con la Ley de Disciplina Financiera (LDF), contratar deuda de largo plazo hasta por 15% de los ingresos de libre disposición (ILD) y deuda de corto plazo hasta por 6% de los ingresos totales. En 2024, el estado concluyó un proceso de refinanciamiento y, para 2025, no planea contratar endeudamiento adicional, ni de largo ni de corto plazo. La deuda del estado cuenta con la afectación de participaciones y aportaciones federales como fuente de pago; además, cuenta con fideicomisos como vehículos especiales de pago y con fondos de reserva para garantizar el servicio de deuda. La deuda está denominada en moneda nacional y tiene un perfil de amortización creciente, sin concentración de vencimientos. Oaxaca tiene otras obligaciones institucionales con el Servicio de Administración Tributario (SAT), con el Instituto de Seguridad y Servicios Sociales de los Trabajadores del Estado (ISSSTE) y con el Fondo de la Vivienda del Instituto de Seguridad y Servicios Sociales de los Trabajadores del Estado (</w:t>
      </w:r>
      <w:proofErr w:type="spellStart"/>
      <w:r w:rsidRPr="00AE36F0">
        <w:rPr>
          <w:rFonts w:ascii="Montserrat" w:hAnsi="Montserrat"/>
        </w:rPr>
        <w:t>Fovissste</w:t>
      </w:r>
      <w:proofErr w:type="spellEnd"/>
      <w:r w:rsidRPr="00AE36F0">
        <w:rPr>
          <w:rFonts w:ascii="Montserrat" w:hAnsi="Montserrat"/>
        </w:rPr>
        <w:t xml:space="preserve">). La administración actual llevó a cabo convenios de reconocimiento de deuda de descentralizados. En 2023 y 2024, realizó pagos para reducir las obligaciones, lo que le permitió mitigar presiones extraordinarias a sus finanzas públicas mediante una programación de pagos. </w:t>
      </w:r>
    </w:p>
    <w:p w14:paraId="31BB159A" w14:textId="77777777" w:rsidR="007C4571" w:rsidRPr="00AE36F0" w:rsidRDefault="007C4571" w:rsidP="007C4571">
      <w:pPr>
        <w:spacing w:line="264" w:lineRule="auto"/>
        <w:contextualSpacing/>
        <w:jc w:val="both"/>
        <w:rPr>
          <w:rFonts w:ascii="Montserrat" w:hAnsi="Montserrat"/>
        </w:rPr>
      </w:pPr>
    </w:p>
    <w:p w14:paraId="71387D06" w14:textId="77777777" w:rsidR="007C4571" w:rsidRPr="00AE36F0" w:rsidRDefault="007C4571" w:rsidP="007C4571">
      <w:pPr>
        <w:spacing w:line="264" w:lineRule="auto"/>
        <w:contextualSpacing/>
        <w:jc w:val="both"/>
        <w:rPr>
          <w:rFonts w:ascii="Montserrat" w:hAnsi="Montserrat"/>
        </w:rPr>
      </w:pPr>
      <w:r w:rsidRPr="00AE36F0">
        <w:rPr>
          <w:rFonts w:ascii="Montserrat" w:hAnsi="Montserrat"/>
        </w:rPr>
        <w:t xml:space="preserve">Pasivos y Liquidez (Flexibilidad) – Oaxaca mantuvo fortalecida su posición de liquidez por tercer año consecutivo, con una razón de 2.16x (2022: 0.96x; 2023: 2.04x), y no ha hecho uso de créditos de corto plazo para atender presiones de liquidez en estos años. La última vez que el estado contrató créditos de corto plazo fue en 2021 y se finiquitó en 2022. Por lo anterior, Fitch reevalúa este FCR a ‘Rango Medio’ desde ‘Más Débil’. </w:t>
      </w:r>
    </w:p>
    <w:p w14:paraId="1F214558" w14:textId="77777777" w:rsidR="007C4571" w:rsidRPr="00AE36F0" w:rsidRDefault="007C4571" w:rsidP="007C4571">
      <w:pPr>
        <w:spacing w:line="264" w:lineRule="auto"/>
        <w:contextualSpacing/>
        <w:jc w:val="both"/>
        <w:rPr>
          <w:rFonts w:ascii="Montserrat" w:hAnsi="Montserrat"/>
        </w:rPr>
      </w:pPr>
    </w:p>
    <w:p w14:paraId="5A6E05AD"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rPr>
        <w:t xml:space="preserve">Riesgos Asimétricos – ‘Negativo’: Fitch identifica un riesgo asimétrico relacionado con la insuficiencia en su sistema de pensiones y jubilaciones. Oaxaca alcanzó su período de suficiencia financiera en 2022, por lo que las aportaciones extraordinarias podrían convertirse en una presión adicional a sus finanzas. En 2024, las erogaciones por pensiones ascendieron a </w:t>
      </w:r>
      <w:r w:rsidRPr="00AE36F0">
        <w:rPr>
          <w:rFonts w:ascii="Montserrat" w:hAnsi="Montserrat"/>
        </w:rPr>
        <w:lastRenderedPageBreak/>
        <w:t>aproximadamente MXN1,963 millones. Fitch dará seguimiento a las acciones que emprenda la entidad para fortalecer su sistema de pensiones.</w:t>
      </w:r>
    </w:p>
    <w:p w14:paraId="49DCAD57" w14:textId="77777777" w:rsidR="007C4571" w:rsidRPr="00AE36F0" w:rsidRDefault="007C4571" w:rsidP="007C4571">
      <w:pPr>
        <w:spacing w:line="264" w:lineRule="auto"/>
        <w:contextualSpacing/>
        <w:jc w:val="both"/>
        <w:rPr>
          <w:rFonts w:ascii="Montserrat" w:hAnsi="Montserrat" w:cs="Arial"/>
          <w:kern w:val="2"/>
        </w:rPr>
      </w:pPr>
    </w:p>
    <w:p w14:paraId="31F2C73C" w14:textId="77777777" w:rsidR="007C4571" w:rsidRPr="00AE36F0" w:rsidRDefault="007C4571" w:rsidP="007C4571">
      <w:pPr>
        <w:spacing w:line="264" w:lineRule="auto"/>
        <w:contextualSpacing/>
        <w:jc w:val="both"/>
        <w:rPr>
          <w:rFonts w:ascii="Montserrat" w:hAnsi="Montserrat" w:cs="Arial"/>
          <w:b/>
          <w:kern w:val="2"/>
        </w:rPr>
      </w:pPr>
      <w:r w:rsidRPr="00AE36F0">
        <w:rPr>
          <w:rFonts w:ascii="Montserrat" w:hAnsi="Montserrat" w:cs="Arial"/>
          <w:b/>
          <w:kern w:val="2"/>
        </w:rPr>
        <w:t xml:space="preserve">CONCLUSIÓN: </w:t>
      </w:r>
    </w:p>
    <w:p w14:paraId="49D22076" w14:textId="77777777" w:rsidR="007C4571" w:rsidRPr="00AE36F0" w:rsidRDefault="007C4571" w:rsidP="007C4571">
      <w:pPr>
        <w:spacing w:line="264" w:lineRule="auto"/>
        <w:contextualSpacing/>
        <w:jc w:val="both"/>
        <w:rPr>
          <w:rFonts w:ascii="Montserrat" w:hAnsi="Montserrat" w:cs="Arial"/>
          <w:b/>
          <w:kern w:val="2"/>
        </w:rPr>
      </w:pPr>
    </w:p>
    <w:p w14:paraId="1D343CA4"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Del año 2022 a 2025, el Estado de Oaxaca ha logrado a través de la presente administración gubernamental a escalar las mejores calificaciones de riesgo crediticio. </w:t>
      </w:r>
    </w:p>
    <w:p w14:paraId="78071706" w14:textId="77777777" w:rsidR="007C4571" w:rsidRPr="00AE36F0" w:rsidRDefault="007C4571" w:rsidP="007C4571">
      <w:pPr>
        <w:spacing w:line="264" w:lineRule="auto"/>
        <w:contextualSpacing/>
        <w:jc w:val="both"/>
        <w:rPr>
          <w:rFonts w:ascii="Montserrat" w:hAnsi="Montserrat" w:cs="Arial"/>
          <w:bCs/>
          <w:kern w:val="2"/>
        </w:rPr>
      </w:pPr>
    </w:p>
    <w:p w14:paraId="430B2AE7"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 xml:space="preserve">Las agencias calificadoras observaron que el Estado ha mejorado en la administración financiera con los recursos propios y de las participaciones federales. </w:t>
      </w:r>
      <w:r w:rsidRPr="00AE36F0">
        <w:rPr>
          <w:rFonts w:ascii="Montserrat" w:hAnsi="Montserrat"/>
        </w:rPr>
        <w:t xml:space="preserve">Hacen referencia a una mejora en las principales métricas crediticias de Oaxaca, especialmente los márgenes operativos, resultados financieros y la liquidez. Así mismo, de </w:t>
      </w:r>
      <w:r w:rsidRPr="00AE36F0">
        <w:rPr>
          <w:rFonts w:ascii="Montserrat" w:eastAsia="Calibri" w:hAnsi="Montserrat" w:cs="Times New Roman"/>
          <w:kern w:val="2"/>
          <w14:ligatures w14:val="standardContextual"/>
        </w:rPr>
        <w:t>un nivel moderado manejable de la deuda pública. No contratar financiamiento de ningún plazo con instituciones financieras da muestra de que ha contado con la liquidez requerida.</w:t>
      </w:r>
    </w:p>
    <w:p w14:paraId="1E79C526" w14:textId="77777777" w:rsidR="007C4571" w:rsidRPr="00AE36F0" w:rsidRDefault="007C4571" w:rsidP="007C4571">
      <w:pPr>
        <w:spacing w:line="264" w:lineRule="auto"/>
        <w:contextualSpacing/>
        <w:jc w:val="both"/>
        <w:rPr>
          <w:rFonts w:ascii="Montserrat" w:hAnsi="Montserrat" w:cs="Arial"/>
          <w:bCs/>
          <w:kern w:val="2"/>
        </w:rPr>
      </w:pPr>
    </w:p>
    <w:p w14:paraId="408D057E" w14:textId="77777777" w:rsidR="007C4571" w:rsidRPr="00AE36F0" w:rsidRDefault="007C4571" w:rsidP="007C4571">
      <w:pPr>
        <w:spacing w:line="264" w:lineRule="auto"/>
        <w:contextualSpacing/>
        <w:jc w:val="both"/>
        <w:rPr>
          <w:rFonts w:ascii="Montserrat" w:hAnsi="Montserrat" w:cs="Arial"/>
          <w:bCs/>
          <w:kern w:val="2"/>
        </w:rPr>
      </w:pPr>
      <w:r w:rsidRPr="00AE36F0">
        <w:rPr>
          <w:rFonts w:ascii="Montserrat" w:hAnsi="Montserrat" w:cs="Arial"/>
          <w:bCs/>
          <w:kern w:val="2"/>
        </w:rPr>
        <w:t>Estas constantes, manifiestan la solvencia financiera en que la presente administración basa su estrategia administrativa.</w:t>
      </w:r>
    </w:p>
    <w:p w14:paraId="7D187F92" w14:textId="77777777" w:rsidR="007C4571" w:rsidRPr="00AE36F0" w:rsidRDefault="007C4571" w:rsidP="007C4571">
      <w:pPr>
        <w:spacing w:line="264" w:lineRule="auto"/>
        <w:contextualSpacing/>
        <w:jc w:val="both"/>
        <w:rPr>
          <w:rFonts w:ascii="Montserrat" w:hAnsi="Montserrat" w:cs="Arial"/>
          <w:bCs/>
          <w:kern w:val="2"/>
        </w:rPr>
      </w:pPr>
    </w:p>
    <w:p w14:paraId="3431E42B" w14:textId="701AEC4D" w:rsidR="007C4571" w:rsidRPr="00AE36F0" w:rsidRDefault="007C4571" w:rsidP="007C4571">
      <w:pPr>
        <w:spacing w:line="264" w:lineRule="auto"/>
        <w:contextualSpacing/>
        <w:jc w:val="both"/>
        <w:rPr>
          <w:rFonts w:ascii="Montserrat" w:hAnsi="Montserrat" w:cs="Arial"/>
          <w:kern w:val="2"/>
        </w:rPr>
      </w:pPr>
      <w:r w:rsidRPr="00AE36F0">
        <w:rPr>
          <w:rFonts w:ascii="Montserrat" w:hAnsi="Montserrat" w:cs="Arial"/>
          <w:kern w:val="2"/>
        </w:rPr>
        <w:t xml:space="preserve">Es relevante que se sigan observando que esta administración continuará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7FA1A6F0" w14:textId="790B1F62" w:rsidR="002C1139" w:rsidRPr="00AE36F0" w:rsidRDefault="007C4571" w:rsidP="007C4571">
      <w:pPr>
        <w:tabs>
          <w:tab w:val="left" w:pos="7260"/>
        </w:tabs>
        <w:spacing w:before="240" w:after="240"/>
        <w:jc w:val="both"/>
        <w:rPr>
          <w:rFonts w:ascii="Montserrat" w:eastAsia="Times New Roman" w:hAnsi="Montserrat" w:cs="Arial"/>
        </w:rPr>
      </w:pPr>
      <w:r w:rsidRPr="00AE36F0">
        <w:rPr>
          <w:rFonts w:ascii="Montserrat" w:hAnsi="Montserrat" w:cs="Arial"/>
          <w:kern w:val="2"/>
        </w:rPr>
        <w:t>La interpretación de las calificaciones es: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AE36F0" w:rsidRDefault="00B0059B" w:rsidP="00DA40B0">
      <w:pPr>
        <w:pStyle w:val="Prrafodelista"/>
        <w:keepNext/>
        <w:widowControl w:val="0"/>
        <w:numPr>
          <w:ilvl w:val="0"/>
          <w:numId w:val="38"/>
        </w:numPr>
        <w:ind w:left="425" w:hanging="425"/>
        <w:jc w:val="both"/>
        <w:rPr>
          <w:rFonts w:ascii="Montserrat" w:hAnsi="Montserrat"/>
          <w:b/>
          <w:sz w:val="24"/>
          <w:szCs w:val="24"/>
        </w:rPr>
      </w:pPr>
      <w:r w:rsidRPr="00AE36F0">
        <w:rPr>
          <w:rFonts w:ascii="Montserrat" w:hAnsi="Montserrat"/>
          <w:b/>
          <w:sz w:val="24"/>
          <w:szCs w:val="24"/>
        </w:rPr>
        <w:lastRenderedPageBreak/>
        <w:t>Proceso de Mejora</w:t>
      </w:r>
    </w:p>
    <w:p w14:paraId="295AB94A"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AE36F0" w:rsidRDefault="00B0059B" w:rsidP="00B0059B">
      <w:pPr>
        <w:tabs>
          <w:tab w:val="left" w:pos="7260"/>
        </w:tabs>
        <w:jc w:val="both"/>
        <w:rPr>
          <w:rFonts w:ascii="Montserrat" w:eastAsia="Times New Roman" w:hAnsi="Montserrat" w:cs="Arial"/>
        </w:rPr>
      </w:pPr>
    </w:p>
    <w:p w14:paraId="0678CE20" w14:textId="61EC8511" w:rsidR="001B0EE1" w:rsidRPr="00AE36F0" w:rsidRDefault="00B0059B" w:rsidP="00882EAC">
      <w:pPr>
        <w:tabs>
          <w:tab w:val="left" w:pos="7260"/>
        </w:tabs>
        <w:jc w:val="both"/>
        <w:rPr>
          <w:rFonts w:ascii="Montserrat" w:eastAsia="Times New Roman" w:hAnsi="Montserrat" w:cs="Arial"/>
        </w:rPr>
      </w:pPr>
      <w:r w:rsidRPr="00AE36F0">
        <w:rPr>
          <w:rFonts w:ascii="Montserrat" w:eastAsia="Times New Roman" w:hAnsi="Montserrat" w:cs="Arial"/>
        </w:rPr>
        <w:t xml:space="preserve">La Secretaría de Administración, </w:t>
      </w:r>
      <w:r w:rsidR="008561F4" w:rsidRPr="00AE36F0">
        <w:rPr>
          <w:rFonts w:ascii="Montserrat" w:eastAsia="Times New Roman" w:hAnsi="Montserrat" w:cs="Arial"/>
        </w:rPr>
        <w:t>concluyó</w:t>
      </w:r>
      <w:r w:rsidRPr="00AE36F0">
        <w:rPr>
          <w:rFonts w:ascii="Montserrat" w:eastAsia="Times New Roman" w:hAnsi="Montserrat" w:cs="Arial"/>
        </w:rPr>
        <w:t xml:space="preserve"> la modernización del Sistema Integral de Control Patrimonial (SICIPO), mismo que tiene como principal objetivo lograr la eficiencia en la administración de los bienes muebles e inmuebles propiedad del Estado, mismo que se </w:t>
      </w:r>
      <w:r w:rsidR="006C4CF8" w:rsidRPr="00AE36F0">
        <w:rPr>
          <w:rFonts w:ascii="Montserrat" w:eastAsia="Times New Roman" w:hAnsi="Montserrat" w:cs="Arial"/>
        </w:rPr>
        <w:t>denomina Sistema de Inventarios Integral de Oaxaca (SIIO).</w:t>
      </w:r>
    </w:p>
    <w:p w14:paraId="1C42F37D" w14:textId="77777777" w:rsidR="00882EAC" w:rsidRPr="00AE36F0" w:rsidRDefault="00882EAC" w:rsidP="00882EAC">
      <w:pPr>
        <w:tabs>
          <w:tab w:val="left" w:pos="7260"/>
        </w:tabs>
        <w:jc w:val="both"/>
        <w:rPr>
          <w:rFonts w:ascii="Montserrat" w:eastAsia="Times New Roman" w:hAnsi="Montserrat" w:cs="Arial"/>
        </w:rPr>
      </w:pPr>
    </w:p>
    <w:p w14:paraId="63886655"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2B973C2A" w14:textId="77777777" w:rsidR="00EE5AE9" w:rsidRPr="00AE36F0" w:rsidRDefault="00EE5AE9" w:rsidP="00B0059B">
      <w:pPr>
        <w:tabs>
          <w:tab w:val="left" w:pos="7260"/>
        </w:tabs>
        <w:jc w:val="both"/>
        <w:rPr>
          <w:rFonts w:ascii="Montserrat" w:eastAsia="Times New Roman" w:hAnsi="Montserrat" w:cs="Arial"/>
        </w:rPr>
      </w:pPr>
    </w:p>
    <w:p w14:paraId="69E9C7A7" w14:textId="5A388BF6" w:rsidR="00EE5AE9" w:rsidRPr="00AE36F0" w:rsidRDefault="00EE5AE9" w:rsidP="00B0059B">
      <w:pPr>
        <w:tabs>
          <w:tab w:val="left" w:pos="7260"/>
        </w:tabs>
        <w:jc w:val="both"/>
        <w:rPr>
          <w:rFonts w:ascii="Montserrat" w:eastAsia="Times New Roman" w:hAnsi="Montserrat" w:cs="Arial"/>
        </w:rPr>
      </w:pPr>
      <w:r w:rsidRPr="00AE36F0">
        <w:rPr>
          <w:rFonts w:ascii="Montserrat" w:eastAsia="Times New Roman" w:hAnsi="Montserrat" w:cs="Arial"/>
        </w:rPr>
        <w:t xml:space="preserve">Asimismo, la Agencia de </w:t>
      </w:r>
      <w:r w:rsidR="00CC16AE" w:rsidRPr="00AE36F0">
        <w:rPr>
          <w:rFonts w:ascii="Montserrat" w:eastAsia="Times New Roman" w:hAnsi="Montserrat" w:cs="Arial"/>
        </w:rPr>
        <w:t xml:space="preserve">Tecnologías </w:t>
      </w:r>
      <w:r w:rsidRPr="00AE36F0">
        <w:rPr>
          <w:rFonts w:ascii="Montserrat" w:eastAsia="Times New Roman" w:hAnsi="Montserrat" w:cs="Arial"/>
        </w:rPr>
        <w:t xml:space="preserve">e Innovación Digital ha desarrollado el </w:t>
      </w:r>
      <w:r w:rsidR="00CC16AE" w:rsidRPr="00AE36F0">
        <w:rPr>
          <w:rFonts w:ascii="Montserrat" w:eastAsia="Times New Roman" w:hAnsi="Montserrat" w:cs="Arial"/>
        </w:rPr>
        <w:t>Sistema de Seguimiento de Auditorias, SISEA, que tiene como objetivo contribuir con el seguimiento de las auditorias practicadas por los diferentes órganos fiscalizadores como la Auditoría Superior de la Federación</w:t>
      </w:r>
      <w:r w:rsidR="0006401A" w:rsidRPr="00AE36F0">
        <w:rPr>
          <w:rFonts w:ascii="Montserrat" w:eastAsia="Times New Roman" w:hAnsi="Montserrat" w:cs="Arial"/>
        </w:rPr>
        <w:t>,</w:t>
      </w:r>
      <w:r w:rsidR="00CC16AE" w:rsidRPr="00AE36F0">
        <w:rPr>
          <w:rFonts w:ascii="Montserrat" w:eastAsia="Times New Roman" w:hAnsi="Montserrat" w:cs="Arial"/>
        </w:rPr>
        <w:t xml:space="preserve"> la Secretaría de la Función Pública y la Auditoría Superior del Estado </w:t>
      </w:r>
      <w:r w:rsidR="0006401A" w:rsidRPr="00AE36F0">
        <w:rPr>
          <w:rFonts w:ascii="Montserrat" w:eastAsia="Times New Roman" w:hAnsi="Montserrat" w:cs="Arial"/>
        </w:rPr>
        <w:t>de Oaxaca. Este sistema se encuentra en la última fase de pruebas y se estima que su operación formal sea en el primer trimestre del 2026.</w:t>
      </w:r>
    </w:p>
    <w:p w14:paraId="6CA9BCD4" w14:textId="77777777" w:rsidR="004B3002" w:rsidRDefault="004B3002" w:rsidP="00B0059B">
      <w:pPr>
        <w:tabs>
          <w:tab w:val="left" w:pos="7260"/>
        </w:tabs>
        <w:jc w:val="both"/>
        <w:rPr>
          <w:rFonts w:ascii="Montserrat" w:eastAsia="Times New Roman" w:hAnsi="Montserrat" w:cs="Arial"/>
        </w:rPr>
      </w:pPr>
    </w:p>
    <w:p w14:paraId="6CEF815C" w14:textId="77777777" w:rsidR="00DE049C" w:rsidRDefault="00DE049C" w:rsidP="00B0059B">
      <w:pPr>
        <w:tabs>
          <w:tab w:val="left" w:pos="7260"/>
        </w:tabs>
        <w:jc w:val="both"/>
        <w:rPr>
          <w:rFonts w:ascii="Montserrat" w:eastAsia="Times New Roman" w:hAnsi="Montserrat" w:cs="Arial"/>
        </w:rPr>
      </w:pPr>
    </w:p>
    <w:p w14:paraId="043BF9B1" w14:textId="77777777" w:rsidR="00DE049C" w:rsidRDefault="00DE049C" w:rsidP="00B0059B">
      <w:pPr>
        <w:tabs>
          <w:tab w:val="left" w:pos="7260"/>
        </w:tabs>
        <w:jc w:val="both"/>
        <w:rPr>
          <w:rFonts w:ascii="Montserrat" w:eastAsia="Times New Roman" w:hAnsi="Montserrat" w:cs="Arial"/>
        </w:rPr>
      </w:pPr>
    </w:p>
    <w:p w14:paraId="3850D8D5" w14:textId="77777777" w:rsidR="00F13C24" w:rsidRDefault="00F13C24" w:rsidP="00B0059B">
      <w:pPr>
        <w:tabs>
          <w:tab w:val="left" w:pos="7260"/>
        </w:tabs>
        <w:jc w:val="both"/>
        <w:rPr>
          <w:rFonts w:ascii="Montserrat" w:eastAsia="Times New Roman" w:hAnsi="Montserrat" w:cs="Arial"/>
        </w:rPr>
      </w:pPr>
    </w:p>
    <w:p w14:paraId="2C691776" w14:textId="77777777" w:rsidR="00F13C24" w:rsidRDefault="00F13C24" w:rsidP="00B0059B">
      <w:pPr>
        <w:tabs>
          <w:tab w:val="left" w:pos="7260"/>
        </w:tabs>
        <w:jc w:val="both"/>
        <w:rPr>
          <w:rFonts w:ascii="Montserrat" w:eastAsia="Times New Roman" w:hAnsi="Montserrat" w:cs="Arial"/>
        </w:rPr>
      </w:pPr>
    </w:p>
    <w:p w14:paraId="16D9F760" w14:textId="77777777" w:rsidR="00F13C24" w:rsidRPr="00AE36F0" w:rsidRDefault="00F13C24" w:rsidP="00B0059B">
      <w:pPr>
        <w:tabs>
          <w:tab w:val="left" w:pos="7260"/>
        </w:tabs>
        <w:jc w:val="both"/>
        <w:rPr>
          <w:rFonts w:ascii="Montserrat" w:eastAsia="Times New Roman" w:hAnsi="Montserrat" w:cs="Arial"/>
        </w:rPr>
      </w:pPr>
    </w:p>
    <w:p w14:paraId="22106ADB"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lastRenderedPageBreak/>
        <w:t>Información por Segmentos</w:t>
      </w:r>
    </w:p>
    <w:p w14:paraId="6AE017BE"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AE36F0" w:rsidRDefault="00B0059B" w:rsidP="00B0059B">
      <w:pPr>
        <w:tabs>
          <w:tab w:val="left" w:pos="7260"/>
        </w:tabs>
        <w:jc w:val="both"/>
        <w:rPr>
          <w:rFonts w:ascii="Montserrat" w:eastAsia="Times New Roman" w:hAnsi="Montserrat" w:cs="Arial"/>
        </w:rPr>
      </w:pPr>
    </w:p>
    <w:p w14:paraId="20F8F5A3"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Pr="00AE36F0" w:rsidRDefault="00F60DC8" w:rsidP="00B0059B">
      <w:pPr>
        <w:tabs>
          <w:tab w:val="left" w:pos="7260"/>
        </w:tabs>
        <w:jc w:val="both"/>
        <w:rPr>
          <w:rFonts w:ascii="Montserrat" w:eastAsia="Times New Roman" w:hAnsi="Montserrat" w:cs="Arial"/>
        </w:rPr>
      </w:pPr>
    </w:p>
    <w:p w14:paraId="7610B138"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Eventos Posteriores al Cierre</w:t>
      </w:r>
    </w:p>
    <w:p w14:paraId="796BACAC"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A la fecha del presente informe no se identifican eventos posteriores al cierre que afecten económicamente al ente público.</w:t>
      </w:r>
    </w:p>
    <w:p w14:paraId="04B35735" w14:textId="77777777" w:rsidR="00350CC4" w:rsidRPr="00AE36F0" w:rsidRDefault="00350CC4" w:rsidP="00B0059B">
      <w:pPr>
        <w:pStyle w:val="Prrafodelista"/>
        <w:widowControl w:val="0"/>
        <w:ind w:left="426"/>
        <w:jc w:val="both"/>
        <w:rPr>
          <w:rFonts w:ascii="Montserrat" w:hAnsi="Montserrat"/>
          <w:b/>
          <w:sz w:val="24"/>
          <w:szCs w:val="24"/>
        </w:rPr>
      </w:pPr>
    </w:p>
    <w:p w14:paraId="61102CB8" w14:textId="77777777" w:rsidR="00B0059B" w:rsidRPr="00AE36F0" w:rsidRDefault="00B0059B" w:rsidP="00DA40B0">
      <w:pPr>
        <w:pStyle w:val="Prrafodelista"/>
        <w:widowControl w:val="0"/>
        <w:numPr>
          <w:ilvl w:val="0"/>
          <w:numId w:val="38"/>
        </w:numPr>
        <w:ind w:left="426" w:hanging="426"/>
        <w:jc w:val="both"/>
        <w:rPr>
          <w:rFonts w:ascii="Montserrat" w:hAnsi="Montserrat"/>
          <w:b/>
          <w:sz w:val="24"/>
          <w:szCs w:val="24"/>
        </w:rPr>
      </w:pPr>
      <w:r w:rsidRPr="00AE36F0">
        <w:rPr>
          <w:rFonts w:ascii="Montserrat" w:hAnsi="Montserrat"/>
          <w:b/>
          <w:sz w:val="24"/>
          <w:szCs w:val="24"/>
        </w:rPr>
        <w:t>Partes Relacionadas.</w:t>
      </w:r>
    </w:p>
    <w:p w14:paraId="449069CF" w14:textId="77777777"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Pr="00AE36F0" w:rsidRDefault="00B0059B" w:rsidP="00B0059B">
      <w:pPr>
        <w:tabs>
          <w:tab w:val="left" w:pos="7260"/>
        </w:tabs>
        <w:jc w:val="both"/>
        <w:rPr>
          <w:rFonts w:ascii="Montserrat" w:eastAsia="Times New Roman" w:hAnsi="Montserrat" w:cs="Arial"/>
        </w:rPr>
      </w:pPr>
    </w:p>
    <w:p w14:paraId="443125A3" w14:textId="77777777" w:rsidR="00B0059B" w:rsidRPr="00AE36F0" w:rsidRDefault="00B0059B" w:rsidP="00DA40B0">
      <w:pPr>
        <w:pStyle w:val="Prrafodelista"/>
        <w:keepNext/>
        <w:widowControl w:val="0"/>
        <w:numPr>
          <w:ilvl w:val="0"/>
          <w:numId w:val="38"/>
        </w:numPr>
        <w:ind w:left="425" w:hanging="425"/>
        <w:jc w:val="both"/>
        <w:rPr>
          <w:rFonts w:ascii="Montserrat" w:hAnsi="Montserrat"/>
          <w:b/>
          <w:sz w:val="24"/>
          <w:szCs w:val="24"/>
        </w:rPr>
      </w:pPr>
      <w:r w:rsidRPr="00AE36F0">
        <w:rPr>
          <w:rFonts w:ascii="Montserrat" w:hAnsi="Montserrat"/>
          <w:b/>
          <w:sz w:val="24"/>
          <w:szCs w:val="24"/>
        </w:rPr>
        <w:t>Responsabilidad sobre la Presentación Razonable de los Estados Financieros.</w:t>
      </w:r>
    </w:p>
    <w:p w14:paraId="2C7DB210" w14:textId="465E4052" w:rsidR="00B0059B" w:rsidRPr="00AE36F0" w:rsidRDefault="00B0059B" w:rsidP="00B0059B">
      <w:pPr>
        <w:tabs>
          <w:tab w:val="left" w:pos="7260"/>
        </w:tabs>
        <w:jc w:val="both"/>
        <w:rPr>
          <w:rFonts w:ascii="Montserrat" w:eastAsia="Times New Roman" w:hAnsi="Montserrat" w:cs="Arial"/>
        </w:rPr>
      </w:pPr>
      <w:r w:rsidRPr="00AE36F0">
        <w:rPr>
          <w:rFonts w:ascii="Montserrat" w:eastAsia="Times New Roman" w:hAnsi="Montserrat" w:cs="Arial"/>
        </w:rPr>
        <w:t>Los Estados Financieros del Poder Ejecutivo son elaborados por la Secretaría de Finanzas bajo la responsabilidad de la Dirección de Contabilidad</w:t>
      </w:r>
      <w:r w:rsidR="002777EB" w:rsidRPr="00AE36F0">
        <w:rPr>
          <w:rFonts w:ascii="Montserrat" w:eastAsia="Times New Roman" w:hAnsi="Montserrat" w:cs="Arial"/>
        </w:rPr>
        <w:t xml:space="preserve"> Gubernamental</w:t>
      </w:r>
      <w:r w:rsidRPr="00AE36F0">
        <w:rPr>
          <w:rFonts w:ascii="Montserrat" w:eastAsia="Times New Roman" w:hAnsi="Montserrat" w:cs="Arial"/>
        </w:rPr>
        <w:t xml:space="preserve">, formulados con sustento a las disposiciones legales, normas contables y presupuestales del Estado, con apego a los </w:t>
      </w:r>
      <w:r w:rsidRPr="00AE36F0">
        <w:rPr>
          <w:rFonts w:ascii="Montserrat" w:eastAsia="Times New Roman" w:hAnsi="Montserrat" w:cs="Arial"/>
        </w:rPr>
        <w:lastRenderedPageBreak/>
        <w:t>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sidRPr="00AE36F0">
        <w:rPr>
          <w:rFonts w:ascii="Montserrat" w:eastAsia="Times New Roman" w:hAnsi="Montserrat" w:cs="Arial"/>
        </w:rPr>
        <w:t xml:space="preserve"> </w:t>
      </w:r>
      <w:r w:rsidRPr="00AE36F0">
        <w:rPr>
          <w:rFonts w:ascii="Montserrat" w:eastAsia="Times New Roman" w:hAnsi="Montserrat" w:cs="Arial"/>
        </w:rPr>
        <w:t>”Bajo protesta de decir verdad declaramos que los Estados Financieros y sus notas, son razonablemente correctos y son responsabilidad del emisor”.</w:t>
      </w:r>
    </w:p>
    <w:p w14:paraId="6D24CD1A" w14:textId="77777777" w:rsidR="00B0059B" w:rsidRPr="00AE36F0" w:rsidRDefault="00B0059B" w:rsidP="00B0059B">
      <w:pPr>
        <w:tabs>
          <w:tab w:val="left" w:pos="7260"/>
        </w:tabs>
        <w:jc w:val="both"/>
        <w:rPr>
          <w:rFonts w:ascii="Montserrat" w:eastAsia="Times New Roman" w:hAnsi="Montserrat" w:cs="Arial"/>
        </w:rPr>
      </w:pPr>
    </w:p>
    <w:p w14:paraId="6475E4F2" w14:textId="77777777" w:rsidR="005D0CB2" w:rsidRPr="00AE36F0" w:rsidRDefault="005D0CB2" w:rsidP="00D05661">
      <w:pPr>
        <w:tabs>
          <w:tab w:val="left" w:pos="7260"/>
        </w:tabs>
        <w:jc w:val="center"/>
        <w:rPr>
          <w:rFonts w:ascii="Montserrat" w:hAnsi="Montserrat"/>
          <w:b/>
        </w:rPr>
      </w:pPr>
      <w:bookmarkStart w:id="6" w:name="_Hlk157392413"/>
      <w:bookmarkEnd w:id="1"/>
    </w:p>
    <w:bookmarkEnd w:id="6"/>
    <w:p w14:paraId="67D74AF3" w14:textId="77777777" w:rsidR="00F97400" w:rsidRPr="00AE36F0" w:rsidRDefault="00F97400" w:rsidP="00F97400">
      <w:pPr>
        <w:tabs>
          <w:tab w:val="left" w:pos="7260"/>
        </w:tabs>
        <w:jc w:val="center"/>
        <w:rPr>
          <w:rFonts w:ascii="Montserrat" w:hAnsi="Montserrat"/>
          <w:b/>
        </w:rPr>
      </w:pPr>
      <w:r w:rsidRPr="00AE36F0">
        <w:rPr>
          <w:rFonts w:ascii="Montserrat" w:hAnsi="Montserrat"/>
          <w:b/>
        </w:rPr>
        <w:t>NOTAS DE DESGLOSE:</w:t>
      </w:r>
    </w:p>
    <w:p w14:paraId="4963382D" w14:textId="77777777" w:rsidR="00F97400" w:rsidRPr="00AE36F0" w:rsidRDefault="00F97400" w:rsidP="00F97400">
      <w:pPr>
        <w:rPr>
          <w:rFonts w:ascii="Montserrat" w:hAnsi="Montserrat"/>
        </w:rPr>
      </w:pPr>
    </w:p>
    <w:p w14:paraId="7E6EDF66" w14:textId="77777777" w:rsidR="00F97400" w:rsidRPr="00AE36F0" w:rsidRDefault="00F97400" w:rsidP="00F97400">
      <w:pPr>
        <w:rPr>
          <w:rFonts w:ascii="Montserrat" w:hAnsi="Montserrat"/>
        </w:rPr>
      </w:pPr>
    </w:p>
    <w:p w14:paraId="7E7D5013" w14:textId="77777777" w:rsidR="00F97400" w:rsidRPr="00AE36F0" w:rsidRDefault="00F97400" w:rsidP="00F97400">
      <w:pPr>
        <w:rPr>
          <w:rFonts w:ascii="Montserrat" w:hAnsi="Montserrat"/>
          <w:b/>
          <w:bCs/>
        </w:rPr>
      </w:pPr>
      <w:r w:rsidRPr="00AE36F0">
        <w:rPr>
          <w:rFonts w:ascii="Montserrat" w:hAnsi="Montserrat"/>
          <w:b/>
          <w:bCs/>
        </w:rPr>
        <w:t>NOTAS AL ESTADO DE ACTIVIDADES.</w:t>
      </w:r>
    </w:p>
    <w:p w14:paraId="2875EB34" w14:textId="77777777" w:rsidR="00F97400" w:rsidRPr="00AE36F0" w:rsidRDefault="00F97400" w:rsidP="00F97400">
      <w:pPr>
        <w:widowControl w:val="0"/>
        <w:jc w:val="both"/>
        <w:rPr>
          <w:rFonts w:ascii="Montserrat" w:hAnsi="Montserrat"/>
        </w:rPr>
      </w:pPr>
    </w:p>
    <w:p w14:paraId="4ECCFEEF" w14:textId="77777777" w:rsidR="00F97400" w:rsidRPr="00AE36F0" w:rsidRDefault="00F97400" w:rsidP="00F97400">
      <w:pPr>
        <w:widowControl w:val="0"/>
        <w:jc w:val="both"/>
        <w:rPr>
          <w:rFonts w:ascii="Montserrat" w:hAnsi="Montserrat"/>
        </w:rPr>
      </w:pPr>
      <w:r w:rsidRPr="00AE36F0">
        <w:rPr>
          <w:rFonts w:ascii="Montserrat" w:hAnsi="Montserrat"/>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enero-diciembre de 2025 y 2024. Mismo que se muestra a continuación:</w:t>
      </w:r>
    </w:p>
    <w:p w14:paraId="295CF6E2" w14:textId="77777777" w:rsidR="00F97400" w:rsidRPr="00AE36F0" w:rsidRDefault="00F97400" w:rsidP="00F97400">
      <w:pPr>
        <w:spacing w:line="224" w:lineRule="exact"/>
        <w:jc w:val="both"/>
        <w:rPr>
          <w:rFonts w:ascii="Montserrat" w:hAnsi="Montserrat"/>
          <w:b/>
          <w:color w:val="000000"/>
        </w:rPr>
      </w:pPr>
      <w:bookmarkStart w:id="7" w:name="_Hlk157387330"/>
    </w:p>
    <w:p w14:paraId="6E7810B1" w14:textId="4D9723FB" w:rsidR="00F97400" w:rsidRPr="00AE36F0" w:rsidRDefault="00F97400">
      <w:pPr>
        <w:rPr>
          <w:rFonts w:ascii="Montserrat" w:hAnsi="Montserrat"/>
          <w:b/>
          <w:color w:val="000000"/>
        </w:rPr>
      </w:pPr>
      <w:r w:rsidRPr="00AE36F0">
        <w:rPr>
          <w:rFonts w:ascii="Montserrat" w:hAnsi="Montserrat"/>
          <w:b/>
          <w:color w:val="000000"/>
        </w:rPr>
        <w:br w:type="page"/>
      </w:r>
    </w:p>
    <w:p w14:paraId="0F255947" w14:textId="77777777" w:rsidR="00F97400" w:rsidRPr="00AE36F0" w:rsidRDefault="00F97400" w:rsidP="00F97400">
      <w:pPr>
        <w:spacing w:line="224" w:lineRule="exact"/>
        <w:jc w:val="both"/>
        <w:rPr>
          <w:rFonts w:ascii="Montserrat" w:hAnsi="Montserrat"/>
          <w:b/>
          <w:color w:val="000000"/>
        </w:rPr>
      </w:pPr>
    </w:p>
    <w:p w14:paraId="26DEBFC0" w14:textId="77777777" w:rsidR="00F97400" w:rsidRPr="00AE36F0" w:rsidRDefault="00F97400" w:rsidP="00F97400">
      <w:pPr>
        <w:spacing w:line="224" w:lineRule="exact"/>
        <w:jc w:val="both"/>
        <w:rPr>
          <w:rFonts w:ascii="Montserrat" w:hAnsi="Montserrat" w:cs="Arial"/>
          <w:b/>
          <w:lang w:val="es-MX"/>
        </w:rPr>
      </w:pPr>
      <w:r w:rsidRPr="00AE36F0">
        <w:rPr>
          <w:rFonts w:ascii="Montserrat" w:hAnsi="Montserrat"/>
          <w:b/>
          <w:color w:val="000000"/>
        </w:rPr>
        <w:t xml:space="preserve">Nota 1.- </w:t>
      </w:r>
      <w:r w:rsidRPr="00AE36F0">
        <w:rPr>
          <w:rFonts w:ascii="Montserrat" w:hAnsi="Montserrat" w:cs="Arial"/>
          <w:b/>
          <w:lang w:val="es-MX"/>
        </w:rPr>
        <w:t>Ingresos y Otros Beneficios</w:t>
      </w:r>
    </w:p>
    <w:bookmarkEnd w:id="7"/>
    <w:p w14:paraId="4A6F031D" w14:textId="77777777" w:rsidR="00F97400" w:rsidRPr="00AE36F0" w:rsidRDefault="00F97400" w:rsidP="00F97400">
      <w:pPr>
        <w:spacing w:line="224" w:lineRule="exact"/>
        <w:jc w:val="both"/>
        <w:rPr>
          <w:rFonts w:ascii="Montserrat" w:hAnsi="Montserrat" w:cs="Arial"/>
          <w:b/>
          <w:lang w:val="es-MX"/>
        </w:rPr>
      </w:pPr>
    </w:p>
    <w:p w14:paraId="1FD74BA0" w14:textId="77777777" w:rsidR="00F97400" w:rsidRPr="00AE36F0" w:rsidRDefault="00F97400" w:rsidP="00F97400">
      <w:pPr>
        <w:pBdr>
          <w:top w:val="nil"/>
          <w:left w:val="nil"/>
          <w:bottom w:val="nil"/>
          <w:right w:val="nil"/>
          <w:between w:val="nil"/>
        </w:pBdr>
        <w:jc w:val="center"/>
        <w:rPr>
          <w:rFonts w:ascii="Montserrat" w:hAnsi="Montserrat"/>
          <w:b/>
          <w:color w:val="000000"/>
        </w:rPr>
      </w:pPr>
      <w:r w:rsidRPr="00AE36F0">
        <w:rPr>
          <w:rFonts w:ascii="Montserrat" w:hAnsi="Montserrat"/>
          <w:b/>
          <w:color w:val="000000"/>
        </w:rPr>
        <w:t>(Pesos)</w:t>
      </w:r>
    </w:p>
    <w:tbl>
      <w:tblPr>
        <w:tblW w:w="8904" w:type="dxa"/>
        <w:tblInd w:w="55" w:type="dxa"/>
        <w:tblCellMar>
          <w:left w:w="70" w:type="dxa"/>
          <w:right w:w="70" w:type="dxa"/>
        </w:tblCellMar>
        <w:tblLook w:val="04A0" w:firstRow="1" w:lastRow="0" w:firstColumn="1" w:lastColumn="0" w:noHBand="0" w:noVBand="1"/>
      </w:tblPr>
      <w:tblGrid>
        <w:gridCol w:w="4469"/>
        <w:gridCol w:w="2226"/>
        <w:gridCol w:w="2209"/>
      </w:tblGrid>
      <w:tr w:rsidR="00F97400" w:rsidRPr="00AE36F0" w14:paraId="60761324" w14:textId="77777777" w:rsidTr="004B75E1">
        <w:trPr>
          <w:trHeight w:val="330"/>
        </w:trPr>
        <w:tc>
          <w:tcPr>
            <w:tcW w:w="446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17CF5AB" w14:textId="77777777" w:rsidR="00F97400" w:rsidRPr="00AE36F0" w:rsidRDefault="00F97400" w:rsidP="004B75E1">
            <w:pPr>
              <w:jc w:val="center"/>
              <w:rPr>
                <w:rFonts w:ascii="Montserrat" w:eastAsia="Times New Roman" w:hAnsi="Montserrat" w:cs="Times New Roman"/>
                <w:b/>
                <w:bCs/>
                <w:color w:val="000000"/>
                <w:lang w:val="es-MX"/>
              </w:rPr>
            </w:pPr>
            <w:bookmarkStart w:id="8" w:name="_Hlk157387559"/>
            <w:r w:rsidRPr="00AE36F0">
              <w:rPr>
                <w:rFonts w:ascii="Montserrat" w:eastAsia="Times New Roman" w:hAnsi="Montserrat" w:cs="Times New Roman"/>
                <w:b/>
                <w:bCs/>
                <w:color w:val="000000"/>
                <w:lang w:val="es-MX"/>
              </w:rPr>
              <w:t>Concepto</w:t>
            </w:r>
          </w:p>
        </w:tc>
        <w:tc>
          <w:tcPr>
            <w:tcW w:w="2226" w:type="dxa"/>
            <w:tcBorders>
              <w:top w:val="single" w:sz="8" w:space="0" w:color="auto"/>
              <w:left w:val="nil"/>
              <w:bottom w:val="single" w:sz="8" w:space="0" w:color="auto"/>
              <w:right w:val="single" w:sz="8" w:space="0" w:color="auto"/>
            </w:tcBorders>
            <w:shd w:val="clear" w:color="000000" w:fill="BFBFBF"/>
            <w:noWrap/>
            <w:vAlign w:val="center"/>
            <w:hideMark/>
          </w:tcPr>
          <w:p w14:paraId="51E971F8" w14:textId="77777777" w:rsidR="00F97400" w:rsidRPr="00AE36F0" w:rsidRDefault="00F97400" w:rsidP="004B75E1">
            <w:pPr>
              <w:jc w:val="cente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2025</w:t>
            </w:r>
          </w:p>
        </w:tc>
        <w:tc>
          <w:tcPr>
            <w:tcW w:w="2209" w:type="dxa"/>
            <w:tcBorders>
              <w:top w:val="single" w:sz="8" w:space="0" w:color="auto"/>
              <w:left w:val="nil"/>
              <w:bottom w:val="single" w:sz="8" w:space="0" w:color="auto"/>
              <w:right w:val="single" w:sz="8" w:space="0" w:color="auto"/>
            </w:tcBorders>
            <w:shd w:val="clear" w:color="000000" w:fill="BFBFBF"/>
            <w:noWrap/>
            <w:vAlign w:val="center"/>
            <w:hideMark/>
          </w:tcPr>
          <w:p w14:paraId="03C61090" w14:textId="77777777" w:rsidR="00F97400" w:rsidRPr="00AE36F0" w:rsidRDefault="00F97400" w:rsidP="004B75E1">
            <w:pPr>
              <w:jc w:val="cente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2024</w:t>
            </w:r>
          </w:p>
        </w:tc>
      </w:tr>
      <w:tr w:rsidR="00F97400" w:rsidRPr="00AE36F0" w14:paraId="179BD7BD"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2CC93A13"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Impuestos</w:t>
            </w:r>
          </w:p>
        </w:tc>
        <w:tc>
          <w:tcPr>
            <w:tcW w:w="2226" w:type="dxa"/>
            <w:tcBorders>
              <w:top w:val="nil"/>
              <w:left w:val="nil"/>
              <w:bottom w:val="single" w:sz="8" w:space="0" w:color="auto"/>
              <w:right w:val="single" w:sz="8" w:space="0" w:color="auto"/>
            </w:tcBorders>
            <w:vAlign w:val="center"/>
            <w:hideMark/>
          </w:tcPr>
          <w:p w14:paraId="3EC5B74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2,422,677,822</w:t>
            </w:r>
          </w:p>
        </w:tc>
        <w:tc>
          <w:tcPr>
            <w:tcW w:w="2209" w:type="dxa"/>
            <w:tcBorders>
              <w:top w:val="nil"/>
              <w:left w:val="nil"/>
              <w:bottom w:val="single" w:sz="8" w:space="0" w:color="auto"/>
              <w:right w:val="single" w:sz="8" w:space="0" w:color="auto"/>
            </w:tcBorders>
            <w:vAlign w:val="center"/>
            <w:hideMark/>
          </w:tcPr>
          <w:p w14:paraId="421415F9"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2,141,687,266</w:t>
            </w:r>
          </w:p>
        </w:tc>
      </w:tr>
      <w:tr w:rsidR="00F97400" w:rsidRPr="00AE36F0" w14:paraId="111C8300"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50B01ED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Derechos</w:t>
            </w:r>
          </w:p>
        </w:tc>
        <w:tc>
          <w:tcPr>
            <w:tcW w:w="2226" w:type="dxa"/>
            <w:tcBorders>
              <w:top w:val="nil"/>
              <w:left w:val="nil"/>
              <w:bottom w:val="single" w:sz="8" w:space="0" w:color="auto"/>
              <w:right w:val="single" w:sz="8" w:space="0" w:color="auto"/>
            </w:tcBorders>
            <w:vAlign w:val="center"/>
            <w:hideMark/>
          </w:tcPr>
          <w:p w14:paraId="0F9AF16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2,963,447,055</w:t>
            </w:r>
          </w:p>
        </w:tc>
        <w:tc>
          <w:tcPr>
            <w:tcW w:w="2209" w:type="dxa"/>
            <w:tcBorders>
              <w:top w:val="nil"/>
              <w:left w:val="nil"/>
              <w:bottom w:val="single" w:sz="8" w:space="0" w:color="auto"/>
              <w:right w:val="single" w:sz="8" w:space="0" w:color="auto"/>
            </w:tcBorders>
            <w:vAlign w:val="center"/>
            <w:hideMark/>
          </w:tcPr>
          <w:p w14:paraId="462B95B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2,684,562,620</w:t>
            </w:r>
          </w:p>
        </w:tc>
      </w:tr>
      <w:tr w:rsidR="00F97400" w:rsidRPr="00AE36F0" w14:paraId="6836C1A9"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0DDA5CD6"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Productos</w:t>
            </w:r>
          </w:p>
        </w:tc>
        <w:tc>
          <w:tcPr>
            <w:tcW w:w="2226" w:type="dxa"/>
            <w:tcBorders>
              <w:top w:val="nil"/>
              <w:left w:val="nil"/>
              <w:bottom w:val="single" w:sz="8" w:space="0" w:color="auto"/>
              <w:right w:val="single" w:sz="8" w:space="0" w:color="auto"/>
            </w:tcBorders>
            <w:vAlign w:val="center"/>
            <w:hideMark/>
          </w:tcPr>
          <w:p w14:paraId="0D283C5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858,110,076</w:t>
            </w:r>
          </w:p>
        </w:tc>
        <w:tc>
          <w:tcPr>
            <w:tcW w:w="2209" w:type="dxa"/>
            <w:tcBorders>
              <w:top w:val="nil"/>
              <w:left w:val="nil"/>
              <w:bottom w:val="single" w:sz="8" w:space="0" w:color="auto"/>
              <w:right w:val="single" w:sz="8" w:space="0" w:color="auto"/>
            </w:tcBorders>
            <w:vAlign w:val="center"/>
            <w:hideMark/>
          </w:tcPr>
          <w:p w14:paraId="5B9E6FE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998,289,283</w:t>
            </w:r>
          </w:p>
        </w:tc>
      </w:tr>
      <w:tr w:rsidR="00F97400" w:rsidRPr="00AE36F0" w14:paraId="76D46D92"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17B04FB5"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Aprovechamientos</w:t>
            </w:r>
          </w:p>
        </w:tc>
        <w:tc>
          <w:tcPr>
            <w:tcW w:w="2226" w:type="dxa"/>
            <w:tcBorders>
              <w:top w:val="nil"/>
              <w:left w:val="nil"/>
              <w:bottom w:val="single" w:sz="8" w:space="0" w:color="auto"/>
              <w:right w:val="single" w:sz="8" w:space="0" w:color="auto"/>
            </w:tcBorders>
            <w:vAlign w:val="center"/>
            <w:hideMark/>
          </w:tcPr>
          <w:p w14:paraId="61EE880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668,079,206</w:t>
            </w:r>
          </w:p>
        </w:tc>
        <w:tc>
          <w:tcPr>
            <w:tcW w:w="2209" w:type="dxa"/>
            <w:tcBorders>
              <w:top w:val="nil"/>
              <w:left w:val="nil"/>
              <w:bottom w:val="single" w:sz="8" w:space="0" w:color="auto"/>
              <w:right w:val="single" w:sz="8" w:space="0" w:color="auto"/>
            </w:tcBorders>
            <w:vAlign w:val="center"/>
            <w:hideMark/>
          </w:tcPr>
          <w:p w14:paraId="16E5540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746,384,332</w:t>
            </w:r>
          </w:p>
        </w:tc>
      </w:tr>
      <w:tr w:rsidR="00F97400" w:rsidRPr="00AE36F0" w14:paraId="53C717B7" w14:textId="77777777" w:rsidTr="004B75E1">
        <w:trPr>
          <w:trHeight w:val="960"/>
        </w:trPr>
        <w:tc>
          <w:tcPr>
            <w:tcW w:w="4469" w:type="dxa"/>
            <w:tcBorders>
              <w:top w:val="nil"/>
              <w:left w:val="single" w:sz="8" w:space="0" w:color="auto"/>
              <w:bottom w:val="single" w:sz="8" w:space="0" w:color="auto"/>
              <w:right w:val="single" w:sz="8" w:space="0" w:color="auto"/>
            </w:tcBorders>
            <w:vAlign w:val="center"/>
            <w:hideMark/>
          </w:tcPr>
          <w:p w14:paraId="4E7C779E"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Participaciones, Aportaciones, Convenios, Incentivos Derivados de la Colaboración Fiscal y Fondos Distintos de Aportaciones</w:t>
            </w:r>
          </w:p>
        </w:tc>
        <w:tc>
          <w:tcPr>
            <w:tcW w:w="2226" w:type="dxa"/>
            <w:tcBorders>
              <w:top w:val="nil"/>
              <w:left w:val="nil"/>
              <w:bottom w:val="single" w:sz="8" w:space="0" w:color="auto"/>
              <w:right w:val="single" w:sz="8" w:space="0" w:color="auto"/>
            </w:tcBorders>
            <w:vAlign w:val="center"/>
            <w:hideMark/>
          </w:tcPr>
          <w:p w14:paraId="1805D2B9"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95,010,658,754</w:t>
            </w:r>
          </w:p>
        </w:tc>
        <w:tc>
          <w:tcPr>
            <w:tcW w:w="2209" w:type="dxa"/>
            <w:tcBorders>
              <w:top w:val="nil"/>
              <w:left w:val="nil"/>
              <w:bottom w:val="single" w:sz="8" w:space="0" w:color="auto"/>
              <w:right w:val="single" w:sz="8" w:space="0" w:color="auto"/>
            </w:tcBorders>
            <w:vAlign w:val="center"/>
            <w:hideMark/>
          </w:tcPr>
          <w:p w14:paraId="3271D362"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99,710,670,136</w:t>
            </w:r>
          </w:p>
        </w:tc>
      </w:tr>
      <w:tr w:rsidR="00F97400" w:rsidRPr="00AE36F0" w14:paraId="7DBAB22E" w14:textId="77777777" w:rsidTr="004B75E1">
        <w:trPr>
          <w:trHeight w:val="645"/>
        </w:trPr>
        <w:tc>
          <w:tcPr>
            <w:tcW w:w="4469" w:type="dxa"/>
            <w:tcBorders>
              <w:top w:val="nil"/>
              <w:left w:val="single" w:sz="8" w:space="0" w:color="auto"/>
              <w:bottom w:val="single" w:sz="8" w:space="0" w:color="auto"/>
              <w:right w:val="single" w:sz="8" w:space="0" w:color="auto"/>
            </w:tcBorders>
            <w:vAlign w:val="center"/>
            <w:hideMark/>
          </w:tcPr>
          <w:p w14:paraId="17E59B67"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Asignaciones, Subsidios y Subvenciones, y Pensiones y Jubilaciones</w:t>
            </w:r>
          </w:p>
        </w:tc>
        <w:tc>
          <w:tcPr>
            <w:tcW w:w="2226" w:type="dxa"/>
            <w:tcBorders>
              <w:top w:val="nil"/>
              <w:left w:val="nil"/>
              <w:bottom w:val="single" w:sz="8" w:space="0" w:color="auto"/>
              <w:right w:val="single" w:sz="8" w:space="0" w:color="auto"/>
            </w:tcBorders>
            <w:vAlign w:val="center"/>
            <w:hideMark/>
          </w:tcPr>
          <w:p w14:paraId="5E8782AD"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-60,224,341,745</w:t>
            </w:r>
          </w:p>
        </w:tc>
        <w:tc>
          <w:tcPr>
            <w:tcW w:w="2209" w:type="dxa"/>
            <w:tcBorders>
              <w:top w:val="nil"/>
              <w:left w:val="nil"/>
              <w:bottom w:val="single" w:sz="8" w:space="0" w:color="auto"/>
              <w:right w:val="single" w:sz="8" w:space="0" w:color="auto"/>
            </w:tcBorders>
            <w:vAlign w:val="center"/>
            <w:hideMark/>
          </w:tcPr>
          <w:p w14:paraId="0FAD12E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-65,308,575,064</w:t>
            </w:r>
          </w:p>
        </w:tc>
      </w:tr>
      <w:tr w:rsidR="00F97400" w:rsidRPr="00AE36F0" w14:paraId="4DBB3A14"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7E528A7D"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Ingresos Financieros</w:t>
            </w:r>
          </w:p>
        </w:tc>
        <w:tc>
          <w:tcPr>
            <w:tcW w:w="2226" w:type="dxa"/>
            <w:tcBorders>
              <w:top w:val="nil"/>
              <w:left w:val="nil"/>
              <w:bottom w:val="single" w:sz="8" w:space="0" w:color="auto"/>
              <w:right w:val="single" w:sz="8" w:space="0" w:color="auto"/>
            </w:tcBorders>
            <w:vAlign w:val="center"/>
            <w:hideMark/>
          </w:tcPr>
          <w:p w14:paraId="3F97E04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80,907,313</w:t>
            </w:r>
          </w:p>
        </w:tc>
        <w:tc>
          <w:tcPr>
            <w:tcW w:w="2209" w:type="dxa"/>
            <w:tcBorders>
              <w:top w:val="nil"/>
              <w:left w:val="nil"/>
              <w:bottom w:val="single" w:sz="8" w:space="0" w:color="auto"/>
              <w:right w:val="single" w:sz="8" w:space="0" w:color="auto"/>
            </w:tcBorders>
            <w:vAlign w:val="center"/>
            <w:hideMark/>
          </w:tcPr>
          <w:p w14:paraId="40851D2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141,821,774</w:t>
            </w:r>
          </w:p>
        </w:tc>
      </w:tr>
      <w:tr w:rsidR="00F97400" w:rsidRPr="00AE36F0" w14:paraId="1B99850C" w14:textId="77777777" w:rsidTr="004B75E1">
        <w:trPr>
          <w:trHeight w:val="330"/>
        </w:trPr>
        <w:tc>
          <w:tcPr>
            <w:tcW w:w="4469" w:type="dxa"/>
            <w:tcBorders>
              <w:top w:val="nil"/>
              <w:left w:val="single" w:sz="8" w:space="0" w:color="auto"/>
              <w:bottom w:val="single" w:sz="8" w:space="0" w:color="auto"/>
              <w:right w:val="single" w:sz="8" w:space="0" w:color="auto"/>
            </w:tcBorders>
            <w:vAlign w:val="center"/>
            <w:hideMark/>
          </w:tcPr>
          <w:p w14:paraId="22AFE8DC" w14:textId="77777777" w:rsidR="00F97400" w:rsidRPr="00AE36F0" w:rsidRDefault="00F97400" w:rsidP="00F97400">
            <w:pPr>
              <w:rPr>
                <w:rFonts w:ascii="Montserrat" w:eastAsia="Times New Roman" w:hAnsi="Montserrat" w:cs="Times New Roman"/>
                <w:b/>
                <w:bCs/>
                <w:color w:val="000000"/>
                <w:lang w:val="es-MX"/>
              </w:rPr>
            </w:pPr>
            <w:proofErr w:type="gramStart"/>
            <w:r w:rsidRPr="00AE36F0">
              <w:rPr>
                <w:rFonts w:ascii="Montserrat" w:eastAsia="Times New Roman" w:hAnsi="Montserrat" w:cs="Times New Roman"/>
                <w:b/>
                <w:bCs/>
                <w:color w:val="000000"/>
                <w:lang w:val="es-MX"/>
              </w:rPr>
              <w:t>Total</w:t>
            </w:r>
            <w:proofErr w:type="gramEnd"/>
            <w:r w:rsidRPr="00AE36F0">
              <w:rPr>
                <w:rFonts w:ascii="Montserrat" w:eastAsia="Times New Roman" w:hAnsi="Montserrat" w:cs="Times New Roman"/>
                <w:b/>
                <w:bCs/>
                <w:color w:val="000000"/>
                <w:lang w:val="es-MX"/>
              </w:rPr>
              <w:t xml:space="preserve"> de Ingresos y Otros Beneficios</w:t>
            </w:r>
          </w:p>
        </w:tc>
        <w:tc>
          <w:tcPr>
            <w:tcW w:w="2226" w:type="dxa"/>
            <w:tcBorders>
              <w:top w:val="nil"/>
              <w:left w:val="nil"/>
              <w:bottom w:val="single" w:sz="8" w:space="0" w:color="auto"/>
              <w:right w:val="single" w:sz="8" w:space="0" w:color="auto"/>
            </w:tcBorders>
            <w:vAlign w:val="center"/>
            <w:hideMark/>
          </w:tcPr>
          <w:p w14:paraId="5185005C"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41,779,538,481</w:t>
            </w:r>
          </w:p>
        </w:tc>
        <w:tc>
          <w:tcPr>
            <w:tcW w:w="2209" w:type="dxa"/>
            <w:tcBorders>
              <w:top w:val="nil"/>
              <w:left w:val="nil"/>
              <w:bottom w:val="single" w:sz="8" w:space="0" w:color="auto"/>
              <w:right w:val="single" w:sz="8" w:space="0" w:color="auto"/>
            </w:tcBorders>
            <w:vAlign w:val="center"/>
            <w:hideMark/>
          </w:tcPr>
          <w:p w14:paraId="766BAB5A"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41,114,840,347</w:t>
            </w:r>
          </w:p>
        </w:tc>
      </w:tr>
    </w:tbl>
    <w:p w14:paraId="6B91DFD2" w14:textId="77777777" w:rsidR="00F97400" w:rsidRPr="00AE36F0" w:rsidRDefault="00F97400" w:rsidP="00F97400">
      <w:pPr>
        <w:rPr>
          <w:rFonts w:ascii="Montserrat" w:hAnsi="Montserrat"/>
          <w:b/>
          <w:color w:val="000000"/>
        </w:rPr>
      </w:pPr>
    </w:p>
    <w:p w14:paraId="5644598C" w14:textId="77777777" w:rsidR="00F97400" w:rsidRPr="00F13C24" w:rsidRDefault="00F97400" w:rsidP="00F97400">
      <w:pPr>
        <w:rPr>
          <w:rFonts w:ascii="Montserrat" w:hAnsi="Montserrat"/>
          <w:b/>
          <w:color w:val="000000"/>
          <w:sz w:val="20"/>
          <w:szCs w:val="20"/>
        </w:rPr>
      </w:pPr>
    </w:p>
    <w:p w14:paraId="172C3D2F" w14:textId="77777777" w:rsidR="00F97400" w:rsidRPr="00AE36F0" w:rsidRDefault="00F97400" w:rsidP="00F97400">
      <w:pPr>
        <w:keepNext/>
        <w:rPr>
          <w:rFonts w:ascii="Montserrat" w:hAnsi="Montserrat" w:cs="Arial"/>
          <w:b/>
          <w:lang w:val="es-MX"/>
        </w:rPr>
      </w:pPr>
      <w:r w:rsidRPr="00AE36F0">
        <w:rPr>
          <w:rFonts w:ascii="Montserrat" w:hAnsi="Montserrat"/>
          <w:b/>
          <w:color w:val="000000"/>
        </w:rPr>
        <w:t xml:space="preserve">Nota 2.- </w:t>
      </w:r>
      <w:r w:rsidRPr="00AE36F0">
        <w:rPr>
          <w:rFonts w:ascii="Montserrat" w:hAnsi="Montserrat" w:cs="Arial"/>
          <w:b/>
          <w:lang w:val="es-MX"/>
        </w:rPr>
        <w:t>Gastos y Otras Pérdidas:</w:t>
      </w:r>
    </w:p>
    <w:bookmarkEnd w:id="8"/>
    <w:p w14:paraId="1733E814" w14:textId="77777777" w:rsidR="00F97400" w:rsidRPr="00F13C24" w:rsidRDefault="00F97400" w:rsidP="00F97400">
      <w:pPr>
        <w:spacing w:line="224" w:lineRule="exact"/>
        <w:jc w:val="both"/>
        <w:rPr>
          <w:rFonts w:ascii="Montserrat" w:hAnsi="Montserrat" w:cs="Arial"/>
          <w:b/>
          <w:sz w:val="20"/>
          <w:szCs w:val="20"/>
          <w:lang w:val="es-MX"/>
        </w:rPr>
      </w:pPr>
    </w:p>
    <w:p w14:paraId="3D5AFCFD" w14:textId="77777777" w:rsidR="00F97400" w:rsidRPr="00AE36F0" w:rsidRDefault="00F97400" w:rsidP="00F97400">
      <w:pPr>
        <w:pBdr>
          <w:top w:val="nil"/>
          <w:left w:val="nil"/>
          <w:bottom w:val="nil"/>
          <w:right w:val="nil"/>
          <w:between w:val="nil"/>
        </w:pBdr>
        <w:jc w:val="center"/>
        <w:rPr>
          <w:rFonts w:ascii="Montserrat" w:hAnsi="Montserrat"/>
          <w:b/>
          <w:bCs/>
          <w:color w:val="000000"/>
        </w:rPr>
      </w:pPr>
      <w:r w:rsidRPr="00AE36F0">
        <w:rPr>
          <w:rFonts w:ascii="Montserrat" w:hAnsi="Montserrat"/>
          <w:b/>
          <w:bCs/>
          <w:color w:val="000000"/>
        </w:rPr>
        <w:t>(Pesos)</w:t>
      </w:r>
    </w:p>
    <w:tbl>
      <w:tblPr>
        <w:tblW w:w="897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07"/>
        <w:gridCol w:w="2245"/>
        <w:gridCol w:w="2227"/>
      </w:tblGrid>
      <w:tr w:rsidR="00F97400" w:rsidRPr="00AE36F0" w14:paraId="2016B2E3" w14:textId="77777777" w:rsidTr="004B75E1">
        <w:trPr>
          <w:trHeight w:val="334"/>
          <w:tblHeader/>
        </w:trPr>
        <w:tc>
          <w:tcPr>
            <w:tcW w:w="4507" w:type="dxa"/>
            <w:shd w:val="clear" w:color="auto" w:fill="D9D9D9" w:themeFill="background1" w:themeFillShade="D9"/>
            <w:noWrap/>
            <w:vAlign w:val="center"/>
            <w:hideMark/>
          </w:tcPr>
          <w:p w14:paraId="66A858D0" w14:textId="77777777" w:rsidR="00F97400" w:rsidRPr="00AE36F0" w:rsidRDefault="00F97400" w:rsidP="004B75E1">
            <w:pPr>
              <w:jc w:val="center"/>
              <w:rPr>
                <w:rFonts w:ascii="Montserrat" w:eastAsia="Times New Roman" w:hAnsi="Montserrat" w:cs="Times New Roman"/>
                <w:b/>
                <w:bCs/>
                <w:color w:val="000000"/>
                <w:lang w:val="es-MX"/>
              </w:rPr>
            </w:pPr>
            <w:r w:rsidRPr="00AE36F0">
              <w:rPr>
                <w:rFonts w:ascii="Montserrat" w:eastAsia="Times New Roman" w:hAnsi="Montserrat" w:cs="Times New Roman"/>
                <w:b/>
                <w:bCs/>
                <w:color w:val="000000"/>
                <w:lang w:val="es-MX"/>
              </w:rPr>
              <w:t>Concepto</w:t>
            </w:r>
          </w:p>
        </w:tc>
        <w:tc>
          <w:tcPr>
            <w:tcW w:w="2245" w:type="dxa"/>
            <w:shd w:val="clear" w:color="auto" w:fill="D9D9D9" w:themeFill="background1" w:themeFillShade="D9"/>
            <w:noWrap/>
            <w:vAlign w:val="center"/>
            <w:hideMark/>
          </w:tcPr>
          <w:p w14:paraId="63641AC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7" w:type="dxa"/>
            <w:shd w:val="clear" w:color="auto" w:fill="D9D9D9" w:themeFill="background1" w:themeFillShade="D9"/>
            <w:noWrap/>
            <w:vAlign w:val="center"/>
            <w:hideMark/>
          </w:tcPr>
          <w:p w14:paraId="1263F76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50C3B3DA" w14:textId="77777777" w:rsidTr="004B75E1">
        <w:trPr>
          <w:trHeight w:val="350"/>
        </w:trPr>
        <w:tc>
          <w:tcPr>
            <w:tcW w:w="4507" w:type="dxa"/>
            <w:vAlign w:val="center"/>
            <w:hideMark/>
          </w:tcPr>
          <w:p w14:paraId="21D97619"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Servicios Personales</w:t>
            </w:r>
          </w:p>
        </w:tc>
        <w:tc>
          <w:tcPr>
            <w:tcW w:w="2245" w:type="dxa"/>
            <w:vAlign w:val="center"/>
            <w:hideMark/>
          </w:tcPr>
          <w:p w14:paraId="2E94696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8,735,541,467</w:t>
            </w:r>
          </w:p>
        </w:tc>
        <w:tc>
          <w:tcPr>
            <w:tcW w:w="2227" w:type="dxa"/>
            <w:vAlign w:val="center"/>
            <w:hideMark/>
          </w:tcPr>
          <w:p w14:paraId="0E9DA4B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8,041,268,389</w:t>
            </w:r>
          </w:p>
        </w:tc>
      </w:tr>
      <w:tr w:rsidR="00F97400" w:rsidRPr="00AE36F0" w14:paraId="26FA295D" w14:textId="77777777" w:rsidTr="004B75E1">
        <w:trPr>
          <w:trHeight w:val="350"/>
        </w:trPr>
        <w:tc>
          <w:tcPr>
            <w:tcW w:w="4507" w:type="dxa"/>
            <w:vAlign w:val="center"/>
            <w:hideMark/>
          </w:tcPr>
          <w:p w14:paraId="7ED789B5"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Materiales y Suministros</w:t>
            </w:r>
          </w:p>
        </w:tc>
        <w:tc>
          <w:tcPr>
            <w:tcW w:w="2245" w:type="dxa"/>
            <w:vAlign w:val="center"/>
            <w:hideMark/>
          </w:tcPr>
          <w:p w14:paraId="2DCAEAF4"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1,330,000,118</w:t>
            </w:r>
          </w:p>
        </w:tc>
        <w:tc>
          <w:tcPr>
            <w:tcW w:w="2227" w:type="dxa"/>
            <w:vAlign w:val="center"/>
            <w:hideMark/>
          </w:tcPr>
          <w:p w14:paraId="5CA4526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1,033,168,094</w:t>
            </w:r>
          </w:p>
        </w:tc>
      </w:tr>
      <w:tr w:rsidR="00F97400" w:rsidRPr="00AE36F0" w14:paraId="6CD5C36F" w14:textId="77777777" w:rsidTr="004B75E1">
        <w:trPr>
          <w:trHeight w:val="350"/>
        </w:trPr>
        <w:tc>
          <w:tcPr>
            <w:tcW w:w="4507" w:type="dxa"/>
            <w:vAlign w:val="center"/>
            <w:hideMark/>
          </w:tcPr>
          <w:p w14:paraId="6611967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Servicios Generales</w:t>
            </w:r>
          </w:p>
        </w:tc>
        <w:tc>
          <w:tcPr>
            <w:tcW w:w="2245" w:type="dxa"/>
            <w:vAlign w:val="center"/>
            <w:hideMark/>
          </w:tcPr>
          <w:p w14:paraId="4BC76B7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4,435,950,888</w:t>
            </w:r>
          </w:p>
        </w:tc>
        <w:tc>
          <w:tcPr>
            <w:tcW w:w="2227" w:type="dxa"/>
            <w:vAlign w:val="center"/>
            <w:hideMark/>
          </w:tcPr>
          <w:p w14:paraId="3C7197B5"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3,130,857,995</w:t>
            </w:r>
          </w:p>
        </w:tc>
      </w:tr>
      <w:tr w:rsidR="00F97400" w:rsidRPr="00AE36F0" w14:paraId="22D5C92F" w14:textId="77777777" w:rsidTr="004B75E1">
        <w:trPr>
          <w:trHeight w:val="701"/>
        </w:trPr>
        <w:tc>
          <w:tcPr>
            <w:tcW w:w="4507" w:type="dxa"/>
            <w:vAlign w:val="center"/>
            <w:hideMark/>
          </w:tcPr>
          <w:p w14:paraId="5FB75A81"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Internas y Asignaciones al Sector Público</w:t>
            </w:r>
          </w:p>
        </w:tc>
        <w:tc>
          <w:tcPr>
            <w:tcW w:w="2245" w:type="dxa"/>
            <w:vAlign w:val="center"/>
            <w:hideMark/>
          </w:tcPr>
          <w:p w14:paraId="1817F755"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43,318</w:t>
            </w:r>
          </w:p>
        </w:tc>
        <w:tc>
          <w:tcPr>
            <w:tcW w:w="2227" w:type="dxa"/>
            <w:vAlign w:val="center"/>
            <w:hideMark/>
          </w:tcPr>
          <w:p w14:paraId="6A78440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4,388,928</w:t>
            </w:r>
          </w:p>
        </w:tc>
      </w:tr>
      <w:tr w:rsidR="00F97400" w:rsidRPr="00AE36F0" w14:paraId="4CBBC857" w14:textId="77777777" w:rsidTr="004B75E1">
        <w:trPr>
          <w:trHeight w:val="350"/>
        </w:trPr>
        <w:tc>
          <w:tcPr>
            <w:tcW w:w="4507" w:type="dxa"/>
            <w:vAlign w:val="center"/>
            <w:hideMark/>
          </w:tcPr>
          <w:p w14:paraId="7E93DC59"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al Resto del Sector Público</w:t>
            </w:r>
          </w:p>
        </w:tc>
        <w:tc>
          <w:tcPr>
            <w:tcW w:w="2245" w:type="dxa"/>
            <w:vAlign w:val="center"/>
            <w:hideMark/>
          </w:tcPr>
          <w:p w14:paraId="09793F1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386,872,938</w:t>
            </w:r>
          </w:p>
        </w:tc>
        <w:tc>
          <w:tcPr>
            <w:tcW w:w="2227" w:type="dxa"/>
            <w:vAlign w:val="center"/>
            <w:hideMark/>
          </w:tcPr>
          <w:p w14:paraId="0B761978"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157,829,202</w:t>
            </w:r>
          </w:p>
        </w:tc>
      </w:tr>
      <w:tr w:rsidR="00F97400" w:rsidRPr="00AE36F0" w14:paraId="0692936E" w14:textId="77777777" w:rsidTr="004B75E1">
        <w:trPr>
          <w:trHeight w:val="350"/>
        </w:trPr>
        <w:tc>
          <w:tcPr>
            <w:tcW w:w="4507" w:type="dxa"/>
            <w:vAlign w:val="center"/>
            <w:hideMark/>
          </w:tcPr>
          <w:p w14:paraId="5B0190D7"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Subsidios y Subvenciones</w:t>
            </w:r>
          </w:p>
        </w:tc>
        <w:tc>
          <w:tcPr>
            <w:tcW w:w="2245" w:type="dxa"/>
            <w:vAlign w:val="center"/>
            <w:hideMark/>
          </w:tcPr>
          <w:p w14:paraId="661E5CC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107,633,586</w:t>
            </w:r>
          </w:p>
        </w:tc>
        <w:tc>
          <w:tcPr>
            <w:tcW w:w="2227" w:type="dxa"/>
            <w:vAlign w:val="center"/>
            <w:hideMark/>
          </w:tcPr>
          <w:p w14:paraId="35D9FB83"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49,769,815</w:t>
            </w:r>
          </w:p>
        </w:tc>
      </w:tr>
      <w:tr w:rsidR="00F97400" w:rsidRPr="00AE36F0" w14:paraId="62816E38" w14:textId="77777777" w:rsidTr="004B75E1">
        <w:trPr>
          <w:trHeight w:val="350"/>
        </w:trPr>
        <w:tc>
          <w:tcPr>
            <w:tcW w:w="4507" w:type="dxa"/>
            <w:vAlign w:val="center"/>
            <w:hideMark/>
          </w:tcPr>
          <w:p w14:paraId="402E9756"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Ayudas Sociales</w:t>
            </w:r>
          </w:p>
        </w:tc>
        <w:tc>
          <w:tcPr>
            <w:tcW w:w="2245" w:type="dxa"/>
            <w:vAlign w:val="center"/>
            <w:hideMark/>
          </w:tcPr>
          <w:p w14:paraId="567096C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1,334,306,543</w:t>
            </w:r>
          </w:p>
        </w:tc>
        <w:tc>
          <w:tcPr>
            <w:tcW w:w="2227" w:type="dxa"/>
            <w:vAlign w:val="center"/>
            <w:hideMark/>
          </w:tcPr>
          <w:p w14:paraId="3856518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806,403,866</w:t>
            </w:r>
          </w:p>
        </w:tc>
      </w:tr>
      <w:tr w:rsidR="00F97400" w:rsidRPr="00AE36F0" w14:paraId="2AEB2FAC" w14:textId="77777777" w:rsidTr="004B75E1">
        <w:trPr>
          <w:trHeight w:val="350"/>
        </w:trPr>
        <w:tc>
          <w:tcPr>
            <w:tcW w:w="4507" w:type="dxa"/>
            <w:vAlign w:val="center"/>
            <w:hideMark/>
          </w:tcPr>
          <w:p w14:paraId="1A6E4891"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lastRenderedPageBreak/>
              <w:t>Pensiones y Jubilaciones</w:t>
            </w:r>
          </w:p>
        </w:tc>
        <w:tc>
          <w:tcPr>
            <w:tcW w:w="2245" w:type="dxa"/>
            <w:vAlign w:val="center"/>
            <w:hideMark/>
          </w:tcPr>
          <w:p w14:paraId="13E29D93"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670,558,721</w:t>
            </w:r>
          </w:p>
        </w:tc>
        <w:tc>
          <w:tcPr>
            <w:tcW w:w="2227" w:type="dxa"/>
            <w:vAlign w:val="center"/>
            <w:hideMark/>
          </w:tcPr>
          <w:p w14:paraId="77C3BB09"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612,197,562</w:t>
            </w:r>
          </w:p>
        </w:tc>
      </w:tr>
      <w:tr w:rsidR="00F97400" w:rsidRPr="00AE36F0" w14:paraId="663CB158" w14:textId="77777777" w:rsidTr="004B75E1">
        <w:trPr>
          <w:trHeight w:val="685"/>
        </w:trPr>
        <w:tc>
          <w:tcPr>
            <w:tcW w:w="4507" w:type="dxa"/>
            <w:vAlign w:val="center"/>
            <w:hideMark/>
          </w:tcPr>
          <w:p w14:paraId="1B90A67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Transferencias a Fideicomisos, Mandatos y Contratos Análogos</w:t>
            </w:r>
          </w:p>
        </w:tc>
        <w:tc>
          <w:tcPr>
            <w:tcW w:w="2245" w:type="dxa"/>
            <w:vAlign w:val="center"/>
            <w:hideMark/>
          </w:tcPr>
          <w:p w14:paraId="174DDF12"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264,941,639</w:t>
            </w:r>
          </w:p>
        </w:tc>
        <w:tc>
          <w:tcPr>
            <w:tcW w:w="2227" w:type="dxa"/>
            <w:vAlign w:val="center"/>
            <w:hideMark/>
          </w:tcPr>
          <w:p w14:paraId="21737ADA"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268,081,088</w:t>
            </w:r>
          </w:p>
        </w:tc>
      </w:tr>
      <w:tr w:rsidR="00F97400" w:rsidRPr="00AE36F0" w14:paraId="4A1D5184" w14:textId="77777777" w:rsidTr="004B75E1">
        <w:trPr>
          <w:trHeight w:val="350"/>
        </w:trPr>
        <w:tc>
          <w:tcPr>
            <w:tcW w:w="4507" w:type="dxa"/>
            <w:vAlign w:val="center"/>
            <w:hideMark/>
          </w:tcPr>
          <w:p w14:paraId="416C66FE"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Participaciones</w:t>
            </w:r>
          </w:p>
        </w:tc>
        <w:tc>
          <w:tcPr>
            <w:tcW w:w="2245" w:type="dxa"/>
            <w:vAlign w:val="center"/>
            <w:hideMark/>
          </w:tcPr>
          <w:p w14:paraId="76B7F8E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8,907,637,261</w:t>
            </w:r>
          </w:p>
        </w:tc>
        <w:tc>
          <w:tcPr>
            <w:tcW w:w="2227" w:type="dxa"/>
            <w:vAlign w:val="center"/>
            <w:hideMark/>
          </w:tcPr>
          <w:p w14:paraId="0AD5E0CA"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8,359,095,113</w:t>
            </w:r>
          </w:p>
        </w:tc>
      </w:tr>
      <w:tr w:rsidR="00F97400" w:rsidRPr="00AE36F0" w14:paraId="10F7EC26" w14:textId="77777777" w:rsidTr="004B75E1">
        <w:trPr>
          <w:trHeight w:val="350"/>
        </w:trPr>
        <w:tc>
          <w:tcPr>
            <w:tcW w:w="4507" w:type="dxa"/>
            <w:vAlign w:val="center"/>
            <w:hideMark/>
          </w:tcPr>
          <w:p w14:paraId="61CD0E44"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Aportaciones</w:t>
            </w:r>
          </w:p>
        </w:tc>
        <w:tc>
          <w:tcPr>
            <w:tcW w:w="2245" w:type="dxa"/>
            <w:vAlign w:val="center"/>
            <w:hideMark/>
          </w:tcPr>
          <w:p w14:paraId="12A93454"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12,978,158,576</w:t>
            </w:r>
          </w:p>
        </w:tc>
        <w:tc>
          <w:tcPr>
            <w:tcW w:w="2227" w:type="dxa"/>
            <w:vAlign w:val="center"/>
            <w:hideMark/>
          </w:tcPr>
          <w:p w14:paraId="00492408"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13,112,333,706</w:t>
            </w:r>
          </w:p>
        </w:tc>
      </w:tr>
      <w:tr w:rsidR="00F97400" w:rsidRPr="00AE36F0" w14:paraId="1BA31F27" w14:textId="77777777" w:rsidTr="004B75E1">
        <w:trPr>
          <w:trHeight w:val="350"/>
        </w:trPr>
        <w:tc>
          <w:tcPr>
            <w:tcW w:w="4507" w:type="dxa"/>
            <w:vAlign w:val="center"/>
            <w:hideMark/>
          </w:tcPr>
          <w:p w14:paraId="122B2BDA"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Convenios</w:t>
            </w:r>
          </w:p>
        </w:tc>
        <w:tc>
          <w:tcPr>
            <w:tcW w:w="2245" w:type="dxa"/>
            <w:vAlign w:val="center"/>
            <w:hideMark/>
          </w:tcPr>
          <w:p w14:paraId="1D3DF4F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50,940,309</w:t>
            </w:r>
          </w:p>
        </w:tc>
        <w:tc>
          <w:tcPr>
            <w:tcW w:w="2227" w:type="dxa"/>
            <w:vAlign w:val="center"/>
            <w:hideMark/>
          </w:tcPr>
          <w:p w14:paraId="6CEB583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48,136,750</w:t>
            </w:r>
          </w:p>
        </w:tc>
      </w:tr>
      <w:tr w:rsidR="00F97400" w:rsidRPr="00AE36F0" w14:paraId="2020D236" w14:textId="77777777" w:rsidTr="004B75E1">
        <w:trPr>
          <w:trHeight w:val="350"/>
        </w:trPr>
        <w:tc>
          <w:tcPr>
            <w:tcW w:w="4507" w:type="dxa"/>
            <w:vAlign w:val="center"/>
            <w:hideMark/>
          </w:tcPr>
          <w:p w14:paraId="5BEEDC6E"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Intereses de la Deuda Pública</w:t>
            </w:r>
          </w:p>
        </w:tc>
        <w:tc>
          <w:tcPr>
            <w:tcW w:w="2245" w:type="dxa"/>
            <w:vAlign w:val="center"/>
            <w:hideMark/>
          </w:tcPr>
          <w:p w14:paraId="758B49D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1,504,242,547</w:t>
            </w:r>
          </w:p>
        </w:tc>
        <w:tc>
          <w:tcPr>
            <w:tcW w:w="2227" w:type="dxa"/>
            <w:vAlign w:val="center"/>
            <w:hideMark/>
          </w:tcPr>
          <w:p w14:paraId="7B9BB94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1,898,888,585</w:t>
            </w:r>
          </w:p>
        </w:tc>
      </w:tr>
      <w:tr w:rsidR="00F97400" w:rsidRPr="00AE36F0" w14:paraId="52FD7D5D" w14:textId="77777777" w:rsidTr="004B75E1">
        <w:trPr>
          <w:trHeight w:val="350"/>
        </w:trPr>
        <w:tc>
          <w:tcPr>
            <w:tcW w:w="4507" w:type="dxa"/>
            <w:vAlign w:val="center"/>
            <w:hideMark/>
          </w:tcPr>
          <w:p w14:paraId="262D123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Gastos de la Deuda Pública</w:t>
            </w:r>
          </w:p>
        </w:tc>
        <w:tc>
          <w:tcPr>
            <w:tcW w:w="2245" w:type="dxa"/>
            <w:vAlign w:val="center"/>
            <w:hideMark/>
          </w:tcPr>
          <w:p w14:paraId="2A21D04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4,579,273</w:t>
            </w:r>
          </w:p>
        </w:tc>
        <w:tc>
          <w:tcPr>
            <w:tcW w:w="2227" w:type="dxa"/>
            <w:vAlign w:val="center"/>
            <w:hideMark/>
          </w:tcPr>
          <w:p w14:paraId="6E411CD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368,408,353</w:t>
            </w:r>
          </w:p>
        </w:tc>
      </w:tr>
      <w:tr w:rsidR="00F97400" w:rsidRPr="00AE36F0" w14:paraId="2B6A45C7" w14:textId="77777777" w:rsidTr="004B75E1">
        <w:trPr>
          <w:trHeight w:val="350"/>
        </w:trPr>
        <w:tc>
          <w:tcPr>
            <w:tcW w:w="4507" w:type="dxa"/>
            <w:vAlign w:val="center"/>
            <w:hideMark/>
          </w:tcPr>
          <w:p w14:paraId="61BF376B"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Costo por Coberturas</w:t>
            </w:r>
          </w:p>
        </w:tc>
        <w:tc>
          <w:tcPr>
            <w:tcW w:w="2245" w:type="dxa"/>
            <w:vAlign w:val="center"/>
            <w:hideMark/>
          </w:tcPr>
          <w:p w14:paraId="7FBDED84"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62,896,861</w:t>
            </w:r>
          </w:p>
        </w:tc>
        <w:tc>
          <w:tcPr>
            <w:tcW w:w="2227" w:type="dxa"/>
            <w:vAlign w:val="center"/>
            <w:hideMark/>
          </w:tcPr>
          <w:p w14:paraId="344DE58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19CAC6FB" w14:textId="77777777" w:rsidTr="004B75E1">
        <w:trPr>
          <w:trHeight w:val="685"/>
        </w:trPr>
        <w:tc>
          <w:tcPr>
            <w:tcW w:w="4507" w:type="dxa"/>
            <w:vAlign w:val="center"/>
            <w:hideMark/>
          </w:tcPr>
          <w:p w14:paraId="2703BAD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Estimaciones, Depreciaciones, Deterioros, Obsolescencia y Amortizaciones</w:t>
            </w:r>
          </w:p>
        </w:tc>
        <w:tc>
          <w:tcPr>
            <w:tcW w:w="2245" w:type="dxa"/>
            <w:vAlign w:val="center"/>
            <w:hideMark/>
          </w:tcPr>
          <w:p w14:paraId="55227708"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367,177,630</w:t>
            </w:r>
          </w:p>
        </w:tc>
        <w:tc>
          <w:tcPr>
            <w:tcW w:w="2227" w:type="dxa"/>
            <w:vAlign w:val="center"/>
            <w:hideMark/>
          </w:tcPr>
          <w:p w14:paraId="263D53F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389,315,519</w:t>
            </w:r>
          </w:p>
        </w:tc>
      </w:tr>
      <w:tr w:rsidR="00F97400" w:rsidRPr="00AE36F0" w14:paraId="20B63E95" w14:textId="77777777" w:rsidTr="004B75E1">
        <w:trPr>
          <w:trHeight w:val="350"/>
        </w:trPr>
        <w:tc>
          <w:tcPr>
            <w:tcW w:w="4507" w:type="dxa"/>
            <w:vAlign w:val="center"/>
            <w:hideMark/>
          </w:tcPr>
          <w:p w14:paraId="13405105"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Inversión Pública no Capitalizable</w:t>
            </w:r>
          </w:p>
        </w:tc>
        <w:tc>
          <w:tcPr>
            <w:tcW w:w="2245" w:type="dxa"/>
            <w:vAlign w:val="center"/>
            <w:hideMark/>
          </w:tcPr>
          <w:p w14:paraId="2570EB62"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944,064,192</w:t>
            </w:r>
          </w:p>
        </w:tc>
        <w:tc>
          <w:tcPr>
            <w:tcW w:w="2227" w:type="dxa"/>
            <w:vAlign w:val="center"/>
            <w:hideMark/>
          </w:tcPr>
          <w:p w14:paraId="7802DBC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1,011,745,016</w:t>
            </w:r>
          </w:p>
        </w:tc>
      </w:tr>
      <w:tr w:rsidR="00F97400" w:rsidRPr="00AE36F0" w14:paraId="005846A3" w14:textId="77777777" w:rsidTr="004B75E1">
        <w:trPr>
          <w:trHeight w:val="350"/>
        </w:trPr>
        <w:tc>
          <w:tcPr>
            <w:tcW w:w="4507" w:type="dxa"/>
            <w:vAlign w:val="center"/>
            <w:hideMark/>
          </w:tcPr>
          <w:p w14:paraId="0A8B9327" w14:textId="77777777" w:rsidR="00F97400" w:rsidRPr="00AE36F0" w:rsidRDefault="00F97400" w:rsidP="004B75E1">
            <w:pPr>
              <w:rPr>
                <w:rFonts w:ascii="Montserrat" w:eastAsia="Times New Roman" w:hAnsi="Montserrat" w:cs="Times New Roman"/>
                <w:b/>
                <w:bCs/>
                <w:color w:val="000000"/>
                <w:lang w:val="es-MX"/>
              </w:rPr>
            </w:pPr>
            <w:proofErr w:type="gramStart"/>
            <w:r w:rsidRPr="00AE36F0">
              <w:rPr>
                <w:rFonts w:ascii="Montserrat" w:eastAsia="Times New Roman" w:hAnsi="Montserrat" w:cs="Times New Roman"/>
                <w:b/>
                <w:bCs/>
                <w:color w:val="000000"/>
                <w:lang w:val="es-MX"/>
              </w:rPr>
              <w:t>Total</w:t>
            </w:r>
            <w:proofErr w:type="gramEnd"/>
            <w:r w:rsidRPr="00AE36F0">
              <w:rPr>
                <w:rFonts w:ascii="Montserrat" w:eastAsia="Times New Roman" w:hAnsi="Montserrat" w:cs="Times New Roman"/>
                <w:b/>
                <w:bCs/>
                <w:color w:val="000000"/>
                <w:lang w:val="es-MX"/>
              </w:rPr>
              <w:t xml:space="preserve"> de Gastos y Otras Pérdidas</w:t>
            </w:r>
          </w:p>
        </w:tc>
        <w:tc>
          <w:tcPr>
            <w:tcW w:w="2245" w:type="dxa"/>
            <w:vAlign w:val="center"/>
            <w:hideMark/>
          </w:tcPr>
          <w:p w14:paraId="2798FB6A"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42,085,545,867</w:t>
            </w:r>
          </w:p>
        </w:tc>
        <w:tc>
          <w:tcPr>
            <w:tcW w:w="2227" w:type="dxa"/>
            <w:vAlign w:val="center"/>
            <w:hideMark/>
          </w:tcPr>
          <w:p w14:paraId="32F1C67C" w14:textId="77777777" w:rsidR="00F97400" w:rsidRPr="00AE36F0" w:rsidRDefault="00F97400" w:rsidP="004B75E1">
            <w:pPr>
              <w:jc w:val="right"/>
              <w:rPr>
                <w:rFonts w:ascii="Montserrat" w:eastAsia="Times New Roman" w:hAnsi="Montserrat" w:cs="Times New Roman"/>
                <w:b/>
                <w:bCs/>
                <w:color w:val="000000"/>
                <w:lang w:val="es-MX"/>
              </w:rPr>
            </w:pPr>
            <w:r w:rsidRPr="00AE36F0">
              <w:rPr>
                <w:rFonts w:ascii="Montserrat" w:hAnsi="Montserrat"/>
                <w:b/>
                <w:bCs/>
                <w:color w:val="000000"/>
              </w:rPr>
              <w:t>39,291,887,980</w:t>
            </w:r>
          </w:p>
        </w:tc>
      </w:tr>
    </w:tbl>
    <w:p w14:paraId="559A888C" w14:textId="77777777" w:rsidR="00F97400" w:rsidRPr="00F13C24" w:rsidRDefault="00F97400" w:rsidP="00F97400">
      <w:pPr>
        <w:rPr>
          <w:rFonts w:ascii="Montserrat" w:hAnsi="Montserrat"/>
          <w:b/>
          <w:bCs/>
          <w:color w:val="000000"/>
          <w:sz w:val="20"/>
          <w:szCs w:val="20"/>
        </w:rPr>
      </w:pPr>
    </w:p>
    <w:p w14:paraId="24753895" w14:textId="77777777" w:rsidR="00F97400" w:rsidRPr="00AE36F0" w:rsidRDefault="00F97400" w:rsidP="00F97400">
      <w:pPr>
        <w:spacing w:line="224" w:lineRule="exact"/>
        <w:ind w:left="720"/>
        <w:jc w:val="both"/>
        <w:rPr>
          <w:rFonts w:ascii="Montserrat" w:hAnsi="Montserrat" w:cs="Arial"/>
          <w:b/>
          <w:lang w:val="es-MX"/>
        </w:rPr>
      </w:pPr>
    </w:p>
    <w:p w14:paraId="40086633" w14:textId="77777777" w:rsidR="00F97400" w:rsidRPr="00AE36F0" w:rsidRDefault="00F97400" w:rsidP="00F97400">
      <w:pPr>
        <w:spacing w:line="224" w:lineRule="exact"/>
        <w:jc w:val="both"/>
        <w:rPr>
          <w:rFonts w:ascii="Montserrat" w:hAnsi="Montserrat"/>
          <w:b/>
          <w:color w:val="000000"/>
        </w:rPr>
      </w:pPr>
      <w:bookmarkStart w:id="9" w:name="_Hlk157387576"/>
      <w:r w:rsidRPr="00AE36F0">
        <w:rPr>
          <w:rFonts w:ascii="Montserrat" w:hAnsi="Montserrat"/>
          <w:b/>
          <w:color w:val="000000"/>
        </w:rPr>
        <w:t>Nota 3.- Resultados del Ejercicio (Ahorro / Desahorro):</w:t>
      </w:r>
      <w:bookmarkEnd w:id="9"/>
    </w:p>
    <w:p w14:paraId="1D45839A" w14:textId="77777777" w:rsidR="00F97400" w:rsidRPr="00F13C24" w:rsidRDefault="00F97400" w:rsidP="00F97400">
      <w:pPr>
        <w:widowControl w:val="0"/>
        <w:jc w:val="both"/>
        <w:rPr>
          <w:rFonts w:ascii="Montserrat" w:hAnsi="Montserrat"/>
          <w:sz w:val="20"/>
          <w:szCs w:val="20"/>
        </w:rPr>
      </w:pPr>
    </w:p>
    <w:p w14:paraId="0ED672F4" w14:textId="77777777" w:rsidR="00F97400" w:rsidRPr="00AE36F0" w:rsidRDefault="00F97400" w:rsidP="00F97400">
      <w:pPr>
        <w:widowControl w:val="0"/>
        <w:jc w:val="center"/>
        <w:rPr>
          <w:rFonts w:ascii="Montserrat" w:hAnsi="Montserrat"/>
        </w:rPr>
      </w:pPr>
      <w:r w:rsidRPr="00AE36F0">
        <w:rPr>
          <w:rFonts w:ascii="Montserrat" w:hAnsi="Montserrat"/>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F97400" w:rsidRPr="00AE36F0" w14:paraId="38FB5BFA" w14:textId="77777777" w:rsidTr="004B75E1">
        <w:trPr>
          <w:trHeight w:val="286"/>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404C37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5CBC1B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4D34B4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D813AF4" w14:textId="77777777" w:rsidTr="004B75E1">
        <w:trPr>
          <w:trHeight w:val="273"/>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1E044B5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25CBAB1E" w14:textId="2248AE33"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b/>
                <w:bCs/>
                <w:color w:val="000000"/>
                <w:sz w:val="22"/>
                <w:szCs w:val="22"/>
              </w:rPr>
              <w:t>-306,007,385</w:t>
            </w:r>
          </w:p>
        </w:tc>
        <w:tc>
          <w:tcPr>
            <w:tcW w:w="2238" w:type="dxa"/>
            <w:tcBorders>
              <w:top w:val="nil"/>
              <w:left w:val="nil"/>
              <w:bottom w:val="single" w:sz="8" w:space="0" w:color="auto"/>
              <w:right w:val="single" w:sz="8" w:space="0" w:color="auto"/>
            </w:tcBorders>
            <w:shd w:val="clear" w:color="000000" w:fill="FFFFFF"/>
            <w:noWrap/>
            <w:vAlign w:val="center"/>
            <w:hideMark/>
          </w:tcPr>
          <w:p w14:paraId="1170553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b/>
                <w:bCs/>
                <w:color w:val="000000"/>
                <w:sz w:val="22"/>
                <w:szCs w:val="22"/>
              </w:rPr>
              <w:t>1,822,952,366</w:t>
            </w:r>
          </w:p>
        </w:tc>
      </w:tr>
      <w:tr w:rsidR="00F97400" w:rsidRPr="00AE36F0" w14:paraId="19B9361D" w14:textId="77777777" w:rsidTr="004B75E1">
        <w:trPr>
          <w:trHeight w:val="286"/>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01BF69AD"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w:t>
            </w:r>
            <w:r w:rsidRPr="00AE36F0">
              <w:rPr>
                <w:rFonts w:ascii="Montserrat" w:hAnsi="Montserrat"/>
                <w:b/>
                <w:color w:val="000000"/>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2745CCD1" w14:textId="05104520"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-306,007,385</w:t>
            </w:r>
          </w:p>
        </w:tc>
        <w:tc>
          <w:tcPr>
            <w:tcW w:w="2238" w:type="dxa"/>
            <w:tcBorders>
              <w:top w:val="nil"/>
              <w:left w:val="nil"/>
              <w:bottom w:val="single" w:sz="8" w:space="0" w:color="auto"/>
              <w:right w:val="single" w:sz="8" w:space="0" w:color="auto"/>
            </w:tcBorders>
            <w:shd w:val="clear" w:color="000000" w:fill="FFFFFF"/>
            <w:noWrap/>
            <w:vAlign w:val="center"/>
            <w:hideMark/>
          </w:tcPr>
          <w:p w14:paraId="3BCF45E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1,822,952,366</w:t>
            </w:r>
          </w:p>
        </w:tc>
      </w:tr>
    </w:tbl>
    <w:p w14:paraId="715DBACB" w14:textId="77777777" w:rsidR="00F97400" w:rsidRPr="00AE36F0" w:rsidRDefault="00F97400" w:rsidP="00F97400">
      <w:pPr>
        <w:widowControl w:val="0"/>
        <w:jc w:val="both"/>
        <w:rPr>
          <w:rFonts w:ascii="Montserrat" w:hAnsi="Montserrat"/>
          <w:b/>
        </w:rPr>
      </w:pPr>
    </w:p>
    <w:p w14:paraId="33D3E9CB" w14:textId="77777777" w:rsidR="00F97400" w:rsidRPr="00F13C24" w:rsidRDefault="00F97400" w:rsidP="00F97400">
      <w:pPr>
        <w:rPr>
          <w:rFonts w:ascii="Montserrat" w:hAnsi="Montserrat"/>
          <w:b/>
          <w:bCs/>
          <w:sz w:val="20"/>
          <w:szCs w:val="20"/>
        </w:rPr>
      </w:pPr>
      <w:bookmarkStart w:id="10" w:name="_Hlk157388587"/>
    </w:p>
    <w:p w14:paraId="63BCE7E3" w14:textId="77777777" w:rsidR="00F97400" w:rsidRPr="00AE36F0" w:rsidRDefault="00F97400" w:rsidP="00F97400">
      <w:pPr>
        <w:rPr>
          <w:rFonts w:ascii="Montserrat" w:hAnsi="Montserrat"/>
          <w:b/>
          <w:bCs/>
        </w:rPr>
      </w:pPr>
      <w:r w:rsidRPr="00AE36F0">
        <w:rPr>
          <w:rFonts w:ascii="Montserrat" w:hAnsi="Montserrat"/>
          <w:b/>
          <w:bCs/>
        </w:rPr>
        <w:t>NOTAS AL ESTADO DE SITUACIÓN FINANCIERA</w:t>
      </w:r>
    </w:p>
    <w:p w14:paraId="4B09B93B" w14:textId="77777777" w:rsidR="00F97400" w:rsidRPr="00AE36F0" w:rsidRDefault="00F97400" w:rsidP="00F97400">
      <w:pPr>
        <w:pStyle w:val="Texto"/>
        <w:spacing w:after="0" w:line="203" w:lineRule="exact"/>
        <w:ind w:firstLine="0"/>
        <w:rPr>
          <w:rFonts w:ascii="Montserrat" w:hAnsi="Montserrat"/>
          <w:b/>
          <w:sz w:val="24"/>
          <w:szCs w:val="24"/>
          <w:lang w:val="es-MX"/>
        </w:rPr>
      </w:pPr>
    </w:p>
    <w:p w14:paraId="4F13E3E0" w14:textId="77777777" w:rsidR="00F97400" w:rsidRPr="00AE36F0" w:rsidRDefault="00F97400" w:rsidP="00F97400">
      <w:pPr>
        <w:pStyle w:val="Texto"/>
        <w:spacing w:after="0" w:line="203" w:lineRule="exact"/>
        <w:ind w:firstLine="0"/>
        <w:rPr>
          <w:rFonts w:ascii="Montserrat" w:hAnsi="Montserrat"/>
          <w:b/>
          <w:sz w:val="24"/>
          <w:szCs w:val="24"/>
          <w:lang w:val="es-MX"/>
        </w:rPr>
      </w:pPr>
      <w:r w:rsidRPr="00AE36F0">
        <w:rPr>
          <w:rFonts w:ascii="Montserrat" w:hAnsi="Montserrat"/>
          <w:b/>
          <w:sz w:val="24"/>
          <w:szCs w:val="24"/>
          <w:lang w:val="es-MX"/>
        </w:rPr>
        <w:t>Activo</w:t>
      </w:r>
    </w:p>
    <w:p w14:paraId="4919E13D" w14:textId="77777777" w:rsidR="00F97400" w:rsidRPr="00AE36F0" w:rsidRDefault="00F97400" w:rsidP="00F97400">
      <w:pPr>
        <w:rPr>
          <w:rFonts w:ascii="Montserrat" w:hAnsi="Montserrat"/>
          <w:b/>
        </w:rPr>
      </w:pPr>
    </w:p>
    <w:p w14:paraId="00E2CB56" w14:textId="77777777" w:rsidR="00F97400" w:rsidRPr="00AE36F0" w:rsidRDefault="00F97400" w:rsidP="00F97400">
      <w:pPr>
        <w:jc w:val="both"/>
        <w:rPr>
          <w:rFonts w:ascii="Montserrat" w:hAnsi="Montserrat"/>
        </w:rPr>
      </w:pPr>
      <w:r w:rsidRPr="00AE36F0">
        <w:rPr>
          <w:rFonts w:ascii="Montserrat" w:hAnsi="Montserrat"/>
        </w:rPr>
        <w:t>El activo se compone de los fondos, valores, derechos y bienes cuantificados en términos monetarios, los cuales controla y dispone el Poder Ejecutivo para la prestación de servicios públicos, este se integra como sigue:</w:t>
      </w:r>
    </w:p>
    <w:p w14:paraId="6CAF3A4D" w14:textId="77777777" w:rsidR="00F97400" w:rsidRPr="00AE36F0" w:rsidRDefault="00F97400" w:rsidP="00F97400">
      <w:pPr>
        <w:rPr>
          <w:rFonts w:ascii="Montserrat" w:hAnsi="Montserrat"/>
          <w:b/>
        </w:rPr>
      </w:pPr>
      <w:r w:rsidRPr="00AE36F0">
        <w:rPr>
          <w:rFonts w:ascii="Montserrat" w:hAnsi="Montserrat"/>
          <w:b/>
        </w:rPr>
        <w:lastRenderedPageBreak/>
        <w:t>Nota 4.- Efectivo y Equivalentes.</w:t>
      </w:r>
    </w:p>
    <w:bookmarkEnd w:id="10"/>
    <w:p w14:paraId="195C9C41" w14:textId="77777777" w:rsidR="00F97400" w:rsidRPr="00AE36F0" w:rsidRDefault="00F97400" w:rsidP="00F97400">
      <w:pPr>
        <w:jc w:val="both"/>
        <w:rPr>
          <w:rFonts w:ascii="Montserrat" w:hAnsi="Montserrat"/>
          <w:b/>
          <w:u w:val="single"/>
        </w:rPr>
      </w:pPr>
    </w:p>
    <w:p w14:paraId="10E31BE5" w14:textId="77777777" w:rsidR="00F97400" w:rsidRPr="00AE36F0" w:rsidRDefault="00F97400" w:rsidP="00F97400">
      <w:pPr>
        <w:jc w:val="both"/>
        <w:rPr>
          <w:rFonts w:ascii="Montserrat" w:hAnsi="Montserrat"/>
        </w:rPr>
      </w:pPr>
      <w:r w:rsidRPr="00AE36F0">
        <w:rPr>
          <w:rFonts w:ascii="Montserrat" w:hAnsi="Mont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73B1CF18" w14:textId="77777777" w:rsidR="00F97400" w:rsidRPr="00AE36F0" w:rsidRDefault="00F97400" w:rsidP="00F97400">
      <w:pPr>
        <w:jc w:val="both"/>
        <w:rPr>
          <w:rFonts w:ascii="Montserrat" w:hAnsi="Montserrat"/>
        </w:rPr>
      </w:pPr>
    </w:p>
    <w:p w14:paraId="0762C0B0" w14:textId="0EF0685C" w:rsidR="00F97400" w:rsidRPr="00AE36F0" w:rsidRDefault="00F97400" w:rsidP="00F97400">
      <w:pPr>
        <w:jc w:val="both"/>
        <w:rPr>
          <w:rFonts w:ascii="Montserrat" w:hAnsi="Montserrat"/>
        </w:rPr>
      </w:pPr>
      <w:r w:rsidRPr="00AE36F0">
        <w:rPr>
          <w:rFonts w:ascii="Montserrat" w:hAnsi="Montserrat"/>
        </w:rPr>
        <w:t>Esta disponibilidad al cierre del periodo enero-diciembre 2025, se encuentra integrada de la siguiente manera:</w:t>
      </w:r>
    </w:p>
    <w:p w14:paraId="7286C1E1" w14:textId="77777777" w:rsidR="00F97400" w:rsidRPr="00AE36F0" w:rsidRDefault="00F97400" w:rsidP="00F97400">
      <w:pPr>
        <w:jc w:val="center"/>
        <w:rPr>
          <w:rFonts w:ascii="Montserrat" w:hAnsi="Montserrat"/>
          <w:b/>
        </w:rPr>
      </w:pPr>
    </w:p>
    <w:p w14:paraId="36C8B971" w14:textId="77777777" w:rsidR="00F97400" w:rsidRPr="00AE36F0" w:rsidRDefault="00F97400" w:rsidP="00F97400">
      <w:pPr>
        <w:jc w:val="center"/>
        <w:rPr>
          <w:rFonts w:ascii="Montserrat" w:hAnsi="Montserrat"/>
          <w:b/>
        </w:rPr>
      </w:pPr>
      <w:r w:rsidRPr="00AE36F0">
        <w:rPr>
          <w:rFonts w:ascii="Montserrat" w:hAnsi="Montserrat"/>
          <w:b/>
        </w:rPr>
        <w:t>(Pesos)</w:t>
      </w:r>
    </w:p>
    <w:tbl>
      <w:tblPr>
        <w:tblW w:w="900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22"/>
        <w:gridCol w:w="2252"/>
        <w:gridCol w:w="2235"/>
      </w:tblGrid>
      <w:tr w:rsidR="00F97400" w:rsidRPr="00AE36F0" w14:paraId="56025E07" w14:textId="77777777" w:rsidTr="004B75E1">
        <w:trPr>
          <w:trHeight w:val="312"/>
        </w:trPr>
        <w:tc>
          <w:tcPr>
            <w:tcW w:w="4522" w:type="dxa"/>
            <w:shd w:val="clear" w:color="auto" w:fill="D9D9D9" w:themeFill="background1" w:themeFillShade="D9"/>
            <w:vAlign w:val="center"/>
            <w:hideMark/>
          </w:tcPr>
          <w:p w14:paraId="4D7F02AF"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2" w:type="dxa"/>
            <w:shd w:val="clear" w:color="auto" w:fill="D9D9D9" w:themeFill="background1" w:themeFillShade="D9"/>
            <w:vAlign w:val="center"/>
            <w:hideMark/>
          </w:tcPr>
          <w:p w14:paraId="1C96DD3A"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5" w:type="dxa"/>
            <w:shd w:val="clear" w:color="auto" w:fill="D9D9D9" w:themeFill="background1" w:themeFillShade="D9"/>
            <w:vAlign w:val="center"/>
            <w:hideMark/>
          </w:tcPr>
          <w:p w14:paraId="62B1B1E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F9F9844" w14:textId="77777777" w:rsidTr="004B75E1">
        <w:trPr>
          <w:trHeight w:val="283"/>
        </w:trPr>
        <w:tc>
          <w:tcPr>
            <w:tcW w:w="4522" w:type="dxa"/>
            <w:shd w:val="clear" w:color="000000" w:fill="FFFFFF"/>
            <w:vAlign w:val="center"/>
            <w:hideMark/>
          </w:tcPr>
          <w:p w14:paraId="33DE297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Efectivo</w:t>
            </w:r>
          </w:p>
        </w:tc>
        <w:tc>
          <w:tcPr>
            <w:tcW w:w="2252" w:type="dxa"/>
            <w:shd w:val="clear" w:color="000000" w:fill="FFFFFF"/>
            <w:vAlign w:val="center"/>
            <w:hideMark/>
          </w:tcPr>
          <w:p w14:paraId="6CE92B1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275,788</w:t>
            </w:r>
          </w:p>
        </w:tc>
        <w:tc>
          <w:tcPr>
            <w:tcW w:w="2235" w:type="dxa"/>
            <w:shd w:val="clear" w:color="000000" w:fill="FFFFFF"/>
            <w:vAlign w:val="center"/>
            <w:hideMark/>
          </w:tcPr>
          <w:p w14:paraId="48271D6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306,601</w:t>
            </w:r>
          </w:p>
        </w:tc>
      </w:tr>
      <w:tr w:rsidR="00F97400" w:rsidRPr="00AE36F0" w14:paraId="4E5C5CFA" w14:textId="77777777" w:rsidTr="004B75E1">
        <w:trPr>
          <w:trHeight w:val="283"/>
        </w:trPr>
        <w:tc>
          <w:tcPr>
            <w:tcW w:w="4522" w:type="dxa"/>
            <w:shd w:val="clear" w:color="000000" w:fill="FFFFFF"/>
            <w:vAlign w:val="center"/>
            <w:hideMark/>
          </w:tcPr>
          <w:p w14:paraId="48A123BF"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Bancos/Tesorería</w:t>
            </w:r>
          </w:p>
        </w:tc>
        <w:tc>
          <w:tcPr>
            <w:tcW w:w="2252" w:type="dxa"/>
            <w:shd w:val="clear" w:color="000000" w:fill="FFFFFF"/>
            <w:vAlign w:val="center"/>
            <w:hideMark/>
          </w:tcPr>
          <w:p w14:paraId="68E5355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2,976,169,080</w:t>
            </w:r>
          </w:p>
        </w:tc>
        <w:tc>
          <w:tcPr>
            <w:tcW w:w="2235" w:type="dxa"/>
            <w:shd w:val="clear" w:color="000000" w:fill="FFFFFF"/>
            <w:vAlign w:val="center"/>
            <w:hideMark/>
          </w:tcPr>
          <w:p w14:paraId="3C3B69F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4,013,869,395</w:t>
            </w:r>
          </w:p>
        </w:tc>
      </w:tr>
      <w:tr w:rsidR="00F97400" w:rsidRPr="00AE36F0" w14:paraId="1908E86A" w14:textId="77777777" w:rsidTr="004B75E1">
        <w:trPr>
          <w:trHeight w:val="283"/>
        </w:trPr>
        <w:tc>
          <w:tcPr>
            <w:tcW w:w="4522" w:type="dxa"/>
            <w:shd w:val="clear" w:color="000000" w:fill="FFFFFF"/>
            <w:vAlign w:val="center"/>
            <w:hideMark/>
          </w:tcPr>
          <w:p w14:paraId="4867CA8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Bancos/Dependencias Y Otros</w:t>
            </w:r>
          </w:p>
        </w:tc>
        <w:tc>
          <w:tcPr>
            <w:tcW w:w="2252" w:type="dxa"/>
            <w:shd w:val="clear" w:color="000000" w:fill="FFFFFF"/>
            <w:vAlign w:val="center"/>
            <w:hideMark/>
          </w:tcPr>
          <w:p w14:paraId="50D1392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548,550,569</w:t>
            </w:r>
          </w:p>
        </w:tc>
        <w:tc>
          <w:tcPr>
            <w:tcW w:w="2235" w:type="dxa"/>
            <w:shd w:val="clear" w:color="000000" w:fill="FFFFFF"/>
            <w:vAlign w:val="center"/>
            <w:hideMark/>
          </w:tcPr>
          <w:p w14:paraId="0589F85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308,758,891</w:t>
            </w:r>
          </w:p>
        </w:tc>
      </w:tr>
      <w:tr w:rsidR="00F97400" w:rsidRPr="00AE36F0" w14:paraId="717EC50A" w14:textId="77777777" w:rsidTr="004B75E1">
        <w:trPr>
          <w:trHeight w:val="298"/>
        </w:trPr>
        <w:tc>
          <w:tcPr>
            <w:tcW w:w="4522" w:type="dxa"/>
            <w:shd w:val="clear" w:color="000000" w:fill="FFFFFF"/>
            <w:vAlign w:val="center"/>
            <w:hideMark/>
          </w:tcPr>
          <w:p w14:paraId="05C8F6F0"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Inversiones Temporales (Hasta 3 Meses)</w:t>
            </w:r>
          </w:p>
        </w:tc>
        <w:tc>
          <w:tcPr>
            <w:tcW w:w="2252" w:type="dxa"/>
            <w:shd w:val="clear" w:color="000000" w:fill="FFFFFF"/>
            <w:vAlign w:val="center"/>
            <w:hideMark/>
          </w:tcPr>
          <w:p w14:paraId="09B6132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1,395,811,589</w:t>
            </w:r>
          </w:p>
        </w:tc>
        <w:tc>
          <w:tcPr>
            <w:tcW w:w="2235" w:type="dxa"/>
            <w:shd w:val="clear" w:color="000000" w:fill="FFFFFF"/>
            <w:vAlign w:val="center"/>
            <w:hideMark/>
          </w:tcPr>
          <w:p w14:paraId="2909A15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3,157,286,962</w:t>
            </w:r>
          </w:p>
        </w:tc>
      </w:tr>
      <w:tr w:rsidR="00F97400" w:rsidRPr="00AE36F0" w14:paraId="4D4F1678" w14:textId="77777777" w:rsidTr="004B75E1">
        <w:trPr>
          <w:trHeight w:val="312"/>
        </w:trPr>
        <w:tc>
          <w:tcPr>
            <w:tcW w:w="4522" w:type="dxa"/>
            <w:shd w:val="clear" w:color="000000" w:fill="FFFFFF"/>
            <w:vAlign w:val="center"/>
            <w:hideMark/>
          </w:tcPr>
          <w:p w14:paraId="275A134F"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Efectivo y Equivalentes </w:t>
            </w:r>
          </w:p>
        </w:tc>
        <w:tc>
          <w:tcPr>
            <w:tcW w:w="2252" w:type="dxa"/>
            <w:shd w:val="clear" w:color="000000" w:fill="FFFFFF"/>
            <w:noWrap/>
            <w:vAlign w:val="center"/>
            <w:hideMark/>
          </w:tcPr>
          <w:p w14:paraId="45A38F2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4,920,807,026</w:t>
            </w:r>
          </w:p>
        </w:tc>
        <w:tc>
          <w:tcPr>
            <w:tcW w:w="2235" w:type="dxa"/>
            <w:shd w:val="clear" w:color="000000" w:fill="FFFFFF"/>
            <w:noWrap/>
            <w:vAlign w:val="center"/>
            <w:hideMark/>
          </w:tcPr>
          <w:p w14:paraId="2EB7694A"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7,480,221,848</w:t>
            </w:r>
          </w:p>
        </w:tc>
      </w:tr>
    </w:tbl>
    <w:p w14:paraId="6E1DEA95" w14:textId="77777777" w:rsidR="00F97400" w:rsidRPr="00AE36F0" w:rsidRDefault="00F97400" w:rsidP="00F97400">
      <w:pPr>
        <w:jc w:val="center"/>
        <w:rPr>
          <w:rFonts w:ascii="Montserrat" w:hAnsi="Montserrat"/>
        </w:rPr>
      </w:pPr>
    </w:p>
    <w:p w14:paraId="0CBD530A" w14:textId="77777777" w:rsidR="00F97400" w:rsidRPr="00AE36F0" w:rsidRDefault="00F97400" w:rsidP="00F97400">
      <w:pPr>
        <w:rPr>
          <w:rFonts w:ascii="Montserrat" w:hAnsi="Montserrat"/>
          <w:b/>
        </w:rPr>
      </w:pPr>
      <w:bookmarkStart w:id="11" w:name="_Hlk157388789"/>
    </w:p>
    <w:p w14:paraId="0289F43C" w14:textId="77777777" w:rsidR="00F97400" w:rsidRPr="00AE36F0" w:rsidRDefault="00F97400" w:rsidP="00F97400">
      <w:pPr>
        <w:rPr>
          <w:rFonts w:ascii="Montserrat" w:hAnsi="Montserrat"/>
          <w:b/>
        </w:rPr>
      </w:pPr>
      <w:r w:rsidRPr="00AE36F0">
        <w:rPr>
          <w:rFonts w:ascii="Montserrat" w:hAnsi="Montserrat"/>
          <w:b/>
        </w:rPr>
        <w:t>Nota 5.- Derechos a recibir Efectivo y Equivalentes y Bienes o Servicios</w:t>
      </w:r>
    </w:p>
    <w:p w14:paraId="016B4910" w14:textId="77777777" w:rsidR="00F97400" w:rsidRPr="00AE36F0" w:rsidRDefault="00F97400" w:rsidP="00F97400">
      <w:pPr>
        <w:jc w:val="both"/>
        <w:rPr>
          <w:rFonts w:ascii="Montserrat" w:hAnsi="Montserrat"/>
          <w:b/>
        </w:rPr>
      </w:pPr>
    </w:p>
    <w:p w14:paraId="0BDEA530" w14:textId="77777777" w:rsidR="00F97400" w:rsidRPr="00AE36F0" w:rsidRDefault="00F97400" w:rsidP="00F97400">
      <w:pPr>
        <w:jc w:val="both"/>
        <w:rPr>
          <w:rFonts w:ascii="Montserrat" w:hAnsi="Montserrat"/>
          <w:b/>
        </w:rPr>
      </w:pPr>
      <w:r w:rsidRPr="00AE36F0">
        <w:rPr>
          <w:rFonts w:ascii="Montserrat" w:hAnsi="Montserrat"/>
          <w:b/>
        </w:rPr>
        <w:t>Derechos a Recibir Efectivo o Equivalentes</w:t>
      </w:r>
    </w:p>
    <w:bookmarkEnd w:id="11"/>
    <w:p w14:paraId="7773D9A7" w14:textId="77777777" w:rsidR="00F97400" w:rsidRPr="00AE36F0" w:rsidRDefault="00F97400" w:rsidP="00F97400">
      <w:pPr>
        <w:jc w:val="both"/>
        <w:rPr>
          <w:rFonts w:ascii="Montserrat" w:hAnsi="Montserrat"/>
          <w:b/>
        </w:rPr>
      </w:pPr>
    </w:p>
    <w:p w14:paraId="3271C3BA" w14:textId="77777777" w:rsidR="00F97400" w:rsidRPr="00AE36F0" w:rsidRDefault="00F97400" w:rsidP="00F97400">
      <w:pPr>
        <w:jc w:val="both"/>
        <w:rPr>
          <w:rFonts w:ascii="Montserrat" w:hAnsi="Montserrat"/>
        </w:rPr>
      </w:pPr>
      <w:r w:rsidRPr="00AE36F0">
        <w:rPr>
          <w:rFonts w:ascii="Montserrat" w:hAnsi="Montserrat"/>
        </w:rPr>
        <w:t>Este rubro del Poder Ejecutivo se integra del saldo de Cuentas por Cobrar y Deudores Diversos a Corto plazo, por Derechos a Recibir Efectivo y Equivalentes que tienen los entes públicos que lo conforman y los cuales al cierre del periodo enero-diciembre de 2025 y 2024 se encuentran integrados de:</w:t>
      </w:r>
    </w:p>
    <w:p w14:paraId="516E7D60" w14:textId="77777777" w:rsidR="00F97400" w:rsidRPr="00AE36F0" w:rsidRDefault="00F97400" w:rsidP="00F97400">
      <w:pPr>
        <w:keepNext/>
        <w:pBdr>
          <w:top w:val="nil"/>
          <w:left w:val="nil"/>
          <w:bottom w:val="nil"/>
          <w:right w:val="nil"/>
          <w:between w:val="nil"/>
        </w:pBdr>
        <w:jc w:val="center"/>
        <w:rPr>
          <w:rFonts w:ascii="Montserrat" w:hAnsi="Montserrat"/>
          <w:b/>
        </w:rPr>
      </w:pPr>
    </w:p>
    <w:p w14:paraId="16CCBEAB" w14:textId="77777777" w:rsidR="00F97400" w:rsidRPr="00AE36F0" w:rsidRDefault="00F97400" w:rsidP="00F97400">
      <w:pPr>
        <w:keepNext/>
        <w:pBdr>
          <w:top w:val="nil"/>
          <w:left w:val="nil"/>
          <w:bottom w:val="nil"/>
          <w:right w:val="nil"/>
          <w:between w:val="nil"/>
        </w:pBdr>
        <w:jc w:val="center"/>
        <w:rPr>
          <w:rFonts w:ascii="Montserrat" w:hAnsi="Montserrat"/>
          <w:b/>
        </w:rPr>
      </w:pPr>
      <w:r w:rsidRPr="00AE36F0">
        <w:rPr>
          <w:rFonts w:ascii="Montserrat" w:hAnsi="Montserrat"/>
          <w:b/>
        </w:rPr>
        <w:t>(Pesos)</w:t>
      </w:r>
    </w:p>
    <w:tbl>
      <w:tblPr>
        <w:tblW w:w="893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84"/>
        <w:gridCol w:w="2233"/>
        <w:gridCol w:w="2216"/>
      </w:tblGrid>
      <w:tr w:rsidR="00F97400" w:rsidRPr="00AE36F0" w14:paraId="6DAC600C" w14:textId="77777777" w:rsidTr="004B75E1">
        <w:trPr>
          <w:trHeight w:val="318"/>
          <w:tblHeader/>
        </w:trPr>
        <w:tc>
          <w:tcPr>
            <w:tcW w:w="4484" w:type="dxa"/>
            <w:shd w:val="clear" w:color="auto" w:fill="D9D9D9" w:themeFill="background1" w:themeFillShade="D9"/>
            <w:vAlign w:val="center"/>
            <w:hideMark/>
          </w:tcPr>
          <w:p w14:paraId="47BB641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33" w:type="dxa"/>
            <w:shd w:val="clear" w:color="auto" w:fill="D9D9D9" w:themeFill="background1" w:themeFillShade="D9"/>
            <w:vAlign w:val="center"/>
            <w:hideMark/>
          </w:tcPr>
          <w:p w14:paraId="7AFB822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16" w:type="dxa"/>
            <w:shd w:val="clear" w:color="auto" w:fill="D9D9D9" w:themeFill="background1" w:themeFillShade="D9"/>
            <w:vAlign w:val="center"/>
            <w:hideMark/>
          </w:tcPr>
          <w:p w14:paraId="1DBCC3B3"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6DA8268F" w14:textId="77777777" w:rsidTr="004B75E1">
        <w:trPr>
          <w:trHeight w:val="288"/>
        </w:trPr>
        <w:tc>
          <w:tcPr>
            <w:tcW w:w="4484" w:type="dxa"/>
            <w:vAlign w:val="center"/>
            <w:hideMark/>
          </w:tcPr>
          <w:p w14:paraId="08EDAB24"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Cuentas Por Cobrar A Corto Plazo</w:t>
            </w:r>
          </w:p>
        </w:tc>
        <w:tc>
          <w:tcPr>
            <w:tcW w:w="2233" w:type="dxa"/>
            <w:shd w:val="clear" w:color="000000" w:fill="FFFFFF"/>
            <w:vAlign w:val="center"/>
            <w:hideMark/>
          </w:tcPr>
          <w:p w14:paraId="20CB447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31,450,570</w:t>
            </w:r>
          </w:p>
        </w:tc>
        <w:tc>
          <w:tcPr>
            <w:tcW w:w="2216" w:type="dxa"/>
            <w:shd w:val="clear" w:color="000000" w:fill="FFFFFF"/>
            <w:vAlign w:val="center"/>
            <w:hideMark/>
          </w:tcPr>
          <w:p w14:paraId="310D7E0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31,748,604</w:t>
            </w:r>
          </w:p>
        </w:tc>
      </w:tr>
      <w:tr w:rsidR="00F97400" w:rsidRPr="00AE36F0" w14:paraId="3385EFAE" w14:textId="77777777" w:rsidTr="004B75E1">
        <w:trPr>
          <w:trHeight w:val="288"/>
        </w:trPr>
        <w:tc>
          <w:tcPr>
            <w:tcW w:w="4484" w:type="dxa"/>
            <w:vAlign w:val="center"/>
            <w:hideMark/>
          </w:tcPr>
          <w:p w14:paraId="66DC243F"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Deudores Diversos Por Cobrar A Corto Plazo</w:t>
            </w:r>
          </w:p>
        </w:tc>
        <w:tc>
          <w:tcPr>
            <w:tcW w:w="2233" w:type="dxa"/>
            <w:shd w:val="clear" w:color="000000" w:fill="FFFFFF"/>
            <w:vAlign w:val="center"/>
            <w:hideMark/>
          </w:tcPr>
          <w:p w14:paraId="26677F1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1,071,437,462</w:t>
            </w:r>
          </w:p>
        </w:tc>
        <w:tc>
          <w:tcPr>
            <w:tcW w:w="2216" w:type="dxa"/>
            <w:shd w:val="clear" w:color="000000" w:fill="FFFFFF"/>
            <w:vAlign w:val="center"/>
            <w:hideMark/>
          </w:tcPr>
          <w:p w14:paraId="6B839F5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940,959,876</w:t>
            </w:r>
          </w:p>
        </w:tc>
      </w:tr>
      <w:tr w:rsidR="00F97400" w:rsidRPr="00AE36F0" w14:paraId="0DD4FB57" w14:textId="77777777" w:rsidTr="004B75E1">
        <w:trPr>
          <w:trHeight w:val="288"/>
        </w:trPr>
        <w:tc>
          <w:tcPr>
            <w:tcW w:w="4484" w:type="dxa"/>
            <w:shd w:val="clear" w:color="000000" w:fill="FFFFFF"/>
            <w:vAlign w:val="center"/>
            <w:hideMark/>
          </w:tcPr>
          <w:p w14:paraId="3448BCE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lastRenderedPageBreak/>
              <w:t>Ingresos Por Recuperar A Corto Plazo</w:t>
            </w:r>
          </w:p>
        </w:tc>
        <w:tc>
          <w:tcPr>
            <w:tcW w:w="2233" w:type="dxa"/>
            <w:shd w:val="clear" w:color="000000" w:fill="FFFFFF"/>
            <w:vAlign w:val="center"/>
            <w:hideMark/>
          </w:tcPr>
          <w:p w14:paraId="6583C9D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897,962,574</w:t>
            </w:r>
          </w:p>
        </w:tc>
        <w:tc>
          <w:tcPr>
            <w:tcW w:w="2216" w:type="dxa"/>
            <w:shd w:val="clear" w:color="000000" w:fill="FFFFFF"/>
            <w:vAlign w:val="center"/>
            <w:hideMark/>
          </w:tcPr>
          <w:p w14:paraId="0BE290A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943,066,337</w:t>
            </w:r>
          </w:p>
        </w:tc>
      </w:tr>
      <w:tr w:rsidR="00F97400" w:rsidRPr="00AE36F0" w14:paraId="621992B3" w14:textId="77777777" w:rsidTr="004B75E1">
        <w:trPr>
          <w:trHeight w:val="288"/>
        </w:trPr>
        <w:tc>
          <w:tcPr>
            <w:tcW w:w="4484" w:type="dxa"/>
            <w:shd w:val="clear" w:color="000000" w:fill="FFFFFF"/>
            <w:vAlign w:val="center"/>
            <w:hideMark/>
          </w:tcPr>
          <w:p w14:paraId="3EBAFED0"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Deudores Por Anticipos De La Tesorería A Corto Plazo</w:t>
            </w:r>
          </w:p>
        </w:tc>
        <w:tc>
          <w:tcPr>
            <w:tcW w:w="2233" w:type="dxa"/>
            <w:shd w:val="clear" w:color="000000" w:fill="FFFFFF"/>
            <w:vAlign w:val="center"/>
            <w:hideMark/>
          </w:tcPr>
          <w:p w14:paraId="26CE52F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520,119,077</w:t>
            </w:r>
          </w:p>
        </w:tc>
        <w:tc>
          <w:tcPr>
            <w:tcW w:w="2216" w:type="dxa"/>
            <w:shd w:val="clear" w:color="000000" w:fill="FFFFFF"/>
            <w:vAlign w:val="center"/>
            <w:hideMark/>
          </w:tcPr>
          <w:p w14:paraId="5451D30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447,302,115</w:t>
            </w:r>
          </w:p>
        </w:tc>
      </w:tr>
      <w:tr w:rsidR="00F97400" w:rsidRPr="00AE36F0" w14:paraId="62EEE4E7" w14:textId="77777777" w:rsidTr="004B75E1">
        <w:trPr>
          <w:trHeight w:val="288"/>
        </w:trPr>
        <w:tc>
          <w:tcPr>
            <w:tcW w:w="4484" w:type="dxa"/>
            <w:shd w:val="clear" w:color="000000" w:fill="FFFFFF"/>
            <w:vAlign w:val="center"/>
            <w:hideMark/>
          </w:tcPr>
          <w:p w14:paraId="0A1DD11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Préstamos Otorgados A Corto Plazo</w:t>
            </w:r>
          </w:p>
        </w:tc>
        <w:tc>
          <w:tcPr>
            <w:tcW w:w="2233" w:type="dxa"/>
            <w:shd w:val="clear" w:color="000000" w:fill="FFFFFF"/>
            <w:vAlign w:val="center"/>
            <w:hideMark/>
          </w:tcPr>
          <w:p w14:paraId="34EB470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395,069,878</w:t>
            </w:r>
          </w:p>
        </w:tc>
        <w:tc>
          <w:tcPr>
            <w:tcW w:w="2216" w:type="dxa"/>
            <w:shd w:val="clear" w:color="000000" w:fill="FFFFFF"/>
            <w:vAlign w:val="center"/>
            <w:hideMark/>
          </w:tcPr>
          <w:p w14:paraId="4111CCE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389,761,757</w:t>
            </w:r>
          </w:p>
        </w:tc>
      </w:tr>
      <w:tr w:rsidR="00F97400" w:rsidRPr="00AE36F0" w14:paraId="763D31B4" w14:textId="77777777" w:rsidTr="004B75E1">
        <w:trPr>
          <w:trHeight w:val="591"/>
        </w:trPr>
        <w:tc>
          <w:tcPr>
            <w:tcW w:w="4484" w:type="dxa"/>
            <w:shd w:val="clear" w:color="000000" w:fill="FFFFFF"/>
            <w:vAlign w:val="center"/>
            <w:hideMark/>
          </w:tcPr>
          <w:p w14:paraId="01D05F1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 xml:space="preserve">Otros Derechos A Recibir Efectivo O Equivalentes </w:t>
            </w:r>
            <w:proofErr w:type="gramStart"/>
            <w:r w:rsidRPr="00AE36F0">
              <w:rPr>
                <w:rFonts w:ascii="Montserrat" w:eastAsia="Times New Roman" w:hAnsi="Montserrat" w:cs="Arial"/>
                <w:color w:val="000000"/>
                <w:lang w:val="es-MX"/>
              </w:rPr>
              <w:t>A  CP</w:t>
            </w:r>
            <w:proofErr w:type="gramEnd"/>
            <w:r w:rsidRPr="00AE36F0">
              <w:rPr>
                <w:rFonts w:ascii="Montserrat" w:eastAsia="Times New Roman" w:hAnsi="Montserrat" w:cs="Arial"/>
                <w:color w:val="000000"/>
                <w:lang w:val="es-MX"/>
              </w:rPr>
              <w:t xml:space="preserve">         </w:t>
            </w:r>
          </w:p>
        </w:tc>
        <w:tc>
          <w:tcPr>
            <w:tcW w:w="2233" w:type="dxa"/>
            <w:shd w:val="clear" w:color="000000" w:fill="FFFFFF"/>
            <w:vAlign w:val="center"/>
            <w:hideMark/>
          </w:tcPr>
          <w:p w14:paraId="31DCC1C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3,749,626,790</w:t>
            </w:r>
          </w:p>
        </w:tc>
        <w:tc>
          <w:tcPr>
            <w:tcW w:w="2216" w:type="dxa"/>
            <w:shd w:val="clear" w:color="000000" w:fill="FFFFFF"/>
            <w:vAlign w:val="center"/>
            <w:hideMark/>
          </w:tcPr>
          <w:p w14:paraId="7D02F9FC"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3,623,233,115</w:t>
            </w:r>
          </w:p>
        </w:tc>
      </w:tr>
      <w:tr w:rsidR="00F97400" w:rsidRPr="00AE36F0" w14:paraId="44A888DB" w14:textId="77777777" w:rsidTr="004B75E1">
        <w:trPr>
          <w:trHeight w:val="318"/>
        </w:trPr>
        <w:tc>
          <w:tcPr>
            <w:tcW w:w="4484" w:type="dxa"/>
            <w:shd w:val="clear" w:color="000000" w:fill="FFFFFF"/>
            <w:noWrap/>
            <w:vAlign w:val="center"/>
            <w:hideMark/>
          </w:tcPr>
          <w:p w14:paraId="24A8BBA8" w14:textId="77777777" w:rsidR="00F97400" w:rsidRPr="00AE36F0" w:rsidRDefault="00F97400" w:rsidP="004B75E1">
            <w:pPr>
              <w:jc w:val="both"/>
              <w:rPr>
                <w:rFonts w:ascii="Montserrat" w:hAnsi="Montserrat"/>
                <w:b/>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w:t>
            </w:r>
            <w:r w:rsidRPr="00AE36F0">
              <w:rPr>
                <w:rFonts w:ascii="Montserrat" w:hAnsi="Montserrat"/>
                <w:b/>
              </w:rPr>
              <w:t>Derechos a Recibir Efectivo o Equivalentes</w:t>
            </w:r>
          </w:p>
        </w:tc>
        <w:tc>
          <w:tcPr>
            <w:tcW w:w="2233" w:type="dxa"/>
            <w:shd w:val="clear" w:color="000000" w:fill="FFFFFF"/>
            <w:noWrap/>
            <w:vAlign w:val="center"/>
            <w:hideMark/>
          </w:tcPr>
          <w:p w14:paraId="7833D9D8"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6,665,666,351</w:t>
            </w:r>
          </w:p>
        </w:tc>
        <w:tc>
          <w:tcPr>
            <w:tcW w:w="2216" w:type="dxa"/>
            <w:shd w:val="clear" w:color="000000" w:fill="FFFFFF"/>
            <w:noWrap/>
            <w:vAlign w:val="center"/>
            <w:hideMark/>
          </w:tcPr>
          <w:p w14:paraId="78392E0C"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6,376,071,803</w:t>
            </w:r>
          </w:p>
        </w:tc>
      </w:tr>
    </w:tbl>
    <w:p w14:paraId="10971533" w14:textId="77777777" w:rsidR="00F97400" w:rsidRPr="00AE36F0" w:rsidRDefault="00F97400" w:rsidP="00F97400">
      <w:pPr>
        <w:jc w:val="both"/>
        <w:rPr>
          <w:rFonts w:ascii="Montserrat" w:hAnsi="Montserrat"/>
          <w:b/>
        </w:rPr>
      </w:pPr>
    </w:p>
    <w:p w14:paraId="33790356" w14:textId="77777777" w:rsidR="00F97400" w:rsidRPr="00AE36F0" w:rsidRDefault="00F97400" w:rsidP="00F97400">
      <w:pPr>
        <w:jc w:val="both"/>
        <w:rPr>
          <w:rFonts w:ascii="Montserrat" w:hAnsi="Montserrat"/>
          <w:b/>
        </w:rPr>
      </w:pPr>
      <w:r w:rsidRPr="00AE36F0">
        <w:rPr>
          <w:rFonts w:ascii="Montserrat" w:hAnsi="Montserrat"/>
          <w:b/>
        </w:rPr>
        <w:t>Derechos a Recibir Bienes o Servicios</w:t>
      </w:r>
    </w:p>
    <w:p w14:paraId="4481D175" w14:textId="77777777" w:rsidR="00F97400" w:rsidRPr="00AE36F0" w:rsidRDefault="00F97400" w:rsidP="00F97400">
      <w:pPr>
        <w:jc w:val="both"/>
        <w:rPr>
          <w:rFonts w:ascii="Montserrat" w:hAnsi="Montserrat"/>
        </w:rPr>
      </w:pPr>
    </w:p>
    <w:p w14:paraId="434D5FD4" w14:textId="77777777" w:rsidR="00F97400" w:rsidRPr="00AE36F0" w:rsidRDefault="00F97400" w:rsidP="00F97400">
      <w:pPr>
        <w:jc w:val="both"/>
        <w:rPr>
          <w:rFonts w:ascii="Montserrat" w:hAnsi="Montserrat"/>
        </w:rPr>
      </w:pPr>
      <w:r w:rsidRPr="00AE36F0">
        <w:rPr>
          <w:rFonts w:ascii="Montserrat" w:hAnsi="Montserrat"/>
        </w:rPr>
        <w:t>El rubro de Derechos a Recibir Bienes o Servicios corresponde a anticipos otorgados a proveedores y contratistas para la ejecución de obra pública en proceso que tienen los entes públicos que conforman el Poder Ejecutivo y cuyo saldo al cierre del periodo enero-diciembre de 2025 y 2024, se encuentra integrado de:</w:t>
      </w:r>
    </w:p>
    <w:p w14:paraId="7046D0E9"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t>(Pesos)</w:t>
      </w:r>
    </w:p>
    <w:tbl>
      <w:tblPr>
        <w:tblW w:w="8949" w:type="dxa"/>
        <w:tblInd w:w="55" w:type="dxa"/>
        <w:tblCellMar>
          <w:left w:w="70" w:type="dxa"/>
          <w:right w:w="70" w:type="dxa"/>
        </w:tblCellMar>
        <w:tblLook w:val="04A0" w:firstRow="1" w:lastRow="0" w:firstColumn="1" w:lastColumn="0" w:noHBand="0" w:noVBand="1"/>
      </w:tblPr>
      <w:tblGrid>
        <w:gridCol w:w="4492"/>
        <w:gridCol w:w="2237"/>
        <w:gridCol w:w="2220"/>
      </w:tblGrid>
      <w:tr w:rsidR="00F97400" w:rsidRPr="00AE36F0" w14:paraId="2D6469D2" w14:textId="77777777" w:rsidTr="004B75E1">
        <w:trPr>
          <w:trHeight w:val="318"/>
        </w:trPr>
        <w:tc>
          <w:tcPr>
            <w:tcW w:w="44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7C974E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9792B9"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FE488E3"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15639E0" w14:textId="77777777" w:rsidTr="004B75E1">
        <w:trPr>
          <w:trHeight w:val="591"/>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003C72C9"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Anticipo a Proveedores por Adquisición de Bienes y Prestación de Servicios a Corto</w:t>
            </w:r>
          </w:p>
        </w:tc>
        <w:tc>
          <w:tcPr>
            <w:tcW w:w="2237" w:type="dxa"/>
            <w:tcBorders>
              <w:top w:val="nil"/>
              <w:left w:val="nil"/>
              <w:bottom w:val="single" w:sz="8" w:space="0" w:color="auto"/>
              <w:right w:val="single" w:sz="8" w:space="0" w:color="auto"/>
            </w:tcBorders>
            <w:shd w:val="clear" w:color="000000" w:fill="FFFFFF"/>
            <w:vAlign w:val="center"/>
            <w:hideMark/>
          </w:tcPr>
          <w:p w14:paraId="2A0C462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33EC752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24,459,285</w:t>
            </w:r>
          </w:p>
        </w:tc>
      </w:tr>
      <w:tr w:rsidR="00F97400" w:rsidRPr="00AE36F0" w14:paraId="583D7B6B" w14:textId="77777777" w:rsidTr="004B75E1">
        <w:trPr>
          <w:trHeight w:val="303"/>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33F6F36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Anticipo a Contratistas por Obras Públicas a CP</w:t>
            </w:r>
          </w:p>
        </w:tc>
        <w:tc>
          <w:tcPr>
            <w:tcW w:w="2237" w:type="dxa"/>
            <w:tcBorders>
              <w:top w:val="nil"/>
              <w:left w:val="nil"/>
              <w:bottom w:val="single" w:sz="8" w:space="0" w:color="auto"/>
              <w:right w:val="single" w:sz="8" w:space="0" w:color="auto"/>
            </w:tcBorders>
            <w:shd w:val="clear" w:color="000000" w:fill="FFFFFF"/>
            <w:vAlign w:val="center"/>
            <w:hideMark/>
          </w:tcPr>
          <w:p w14:paraId="23E4BCF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274,591,906</w:t>
            </w:r>
          </w:p>
        </w:tc>
        <w:tc>
          <w:tcPr>
            <w:tcW w:w="2220" w:type="dxa"/>
            <w:tcBorders>
              <w:top w:val="nil"/>
              <w:left w:val="nil"/>
              <w:bottom w:val="single" w:sz="8" w:space="0" w:color="auto"/>
              <w:right w:val="single" w:sz="8" w:space="0" w:color="auto"/>
            </w:tcBorders>
            <w:shd w:val="clear" w:color="000000" w:fill="FFFFFF"/>
            <w:vAlign w:val="center"/>
            <w:hideMark/>
          </w:tcPr>
          <w:p w14:paraId="1933187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138,318,501</w:t>
            </w:r>
          </w:p>
        </w:tc>
      </w:tr>
      <w:tr w:rsidR="00F97400" w:rsidRPr="00AE36F0" w14:paraId="7408DAE6" w14:textId="77777777" w:rsidTr="004B75E1">
        <w:trPr>
          <w:trHeight w:val="318"/>
        </w:trPr>
        <w:tc>
          <w:tcPr>
            <w:tcW w:w="4492" w:type="dxa"/>
            <w:tcBorders>
              <w:top w:val="nil"/>
              <w:left w:val="single" w:sz="8" w:space="0" w:color="auto"/>
              <w:bottom w:val="single" w:sz="8" w:space="0" w:color="auto"/>
              <w:right w:val="single" w:sz="8" w:space="0" w:color="auto"/>
            </w:tcBorders>
            <w:shd w:val="clear" w:color="000000" w:fill="FFFFFF"/>
            <w:noWrap/>
            <w:vAlign w:val="center"/>
            <w:hideMark/>
          </w:tcPr>
          <w:p w14:paraId="49B4A5F1" w14:textId="77777777" w:rsidR="00F97400" w:rsidRPr="00AE36F0" w:rsidRDefault="00F97400" w:rsidP="004B75E1">
            <w:pPr>
              <w:jc w:val="both"/>
              <w:rPr>
                <w:rFonts w:ascii="Montserrat" w:hAnsi="Montserrat"/>
                <w:b/>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w:t>
            </w:r>
            <w:r w:rsidRPr="00AE36F0">
              <w:rPr>
                <w:rFonts w:ascii="Montserrat" w:hAnsi="Montserrat"/>
                <w:b/>
              </w:rPr>
              <w:t>Derechos a Recibir Efectivo o Equivalentes</w:t>
            </w:r>
          </w:p>
        </w:tc>
        <w:tc>
          <w:tcPr>
            <w:tcW w:w="2237" w:type="dxa"/>
            <w:tcBorders>
              <w:top w:val="nil"/>
              <w:left w:val="nil"/>
              <w:bottom w:val="single" w:sz="8" w:space="0" w:color="auto"/>
              <w:right w:val="single" w:sz="8" w:space="0" w:color="auto"/>
            </w:tcBorders>
            <w:shd w:val="clear" w:color="000000" w:fill="FFFFFF"/>
            <w:noWrap/>
            <w:vAlign w:val="center"/>
            <w:hideMark/>
          </w:tcPr>
          <w:p w14:paraId="324EE1DF"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299,051,191</w:t>
            </w:r>
          </w:p>
        </w:tc>
        <w:tc>
          <w:tcPr>
            <w:tcW w:w="2220" w:type="dxa"/>
            <w:tcBorders>
              <w:top w:val="nil"/>
              <w:left w:val="nil"/>
              <w:bottom w:val="single" w:sz="8" w:space="0" w:color="auto"/>
              <w:right w:val="single" w:sz="8" w:space="0" w:color="auto"/>
            </w:tcBorders>
            <w:shd w:val="clear" w:color="000000" w:fill="FFFFFF"/>
            <w:noWrap/>
            <w:vAlign w:val="center"/>
            <w:hideMark/>
          </w:tcPr>
          <w:p w14:paraId="173C0141"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162,777,786</w:t>
            </w:r>
          </w:p>
        </w:tc>
      </w:tr>
    </w:tbl>
    <w:p w14:paraId="12C2A3EA" w14:textId="77777777" w:rsidR="00F97400" w:rsidRPr="00AE36F0" w:rsidRDefault="00F97400" w:rsidP="00F97400">
      <w:pPr>
        <w:jc w:val="both"/>
        <w:rPr>
          <w:rFonts w:ascii="Montserrat" w:hAnsi="Montserrat"/>
        </w:rPr>
      </w:pPr>
    </w:p>
    <w:p w14:paraId="5017134F" w14:textId="77777777" w:rsidR="00F97400" w:rsidRPr="00AE36F0" w:rsidRDefault="00F97400" w:rsidP="00F97400">
      <w:pPr>
        <w:jc w:val="both"/>
        <w:rPr>
          <w:rFonts w:ascii="Montserrat" w:hAnsi="Montserrat"/>
        </w:rPr>
      </w:pPr>
      <w:bookmarkStart w:id="12" w:name="_Hlk157390620"/>
      <w:r w:rsidRPr="00AE36F0">
        <w:rPr>
          <w:rFonts w:ascii="Montserrat" w:hAnsi="Montserrat"/>
        </w:rPr>
        <w:t xml:space="preserve">En el rubro de Derechos a recibir Efectivos y Equivalentes y Bienes o Servicios, cada dependencia del Poder Judicial debe señalar en sus notas del informe trimestral de manera desglosada los siguientes requerimientos: </w:t>
      </w:r>
    </w:p>
    <w:p w14:paraId="204CAC98" w14:textId="77777777" w:rsidR="00F97400" w:rsidRPr="00AE36F0" w:rsidRDefault="00F97400" w:rsidP="00F97400">
      <w:pPr>
        <w:jc w:val="both"/>
        <w:rPr>
          <w:rFonts w:ascii="Montserrat" w:hAnsi="Montserrat"/>
        </w:rPr>
      </w:pPr>
    </w:p>
    <w:p w14:paraId="38861677" w14:textId="77777777" w:rsidR="00F97400" w:rsidRPr="00AE36F0" w:rsidRDefault="00F97400" w:rsidP="00F97400">
      <w:pPr>
        <w:jc w:val="both"/>
        <w:rPr>
          <w:rFonts w:ascii="Montserrat" w:hAnsi="Montserrat"/>
        </w:rPr>
      </w:pPr>
      <w:r w:rsidRPr="00AE36F0">
        <w:rPr>
          <w:rFonts w:ascii="Montserrat" w:hAnsi="Montserrat"/>
        </w:rPr>
        <w:t xml:space="preserve">Por tipo de contribución se informará el monto que se encuentre pendiente de cobro y por recuperar de hasta cinco ejercicios anteriores, así </w:t>
      </w:r>
      <w:r w:rsidRPr="00AE36F0">
        <w:rPr>
          <w:rFonts w:ascii="Montserrat" w:hAnsi="Montserrat"/>
        </w:rPr>
        <w:lastRenderedPageBreak/>
        <w:t>mismo se deberán considerar los montos sujetos a algún tipo de juicio con una antigüedad mayor a la señalada y la factibilidad de cobro.</w:t>
      </w:r>
    </w:p>
    <w:p w14:paraId="0B18A581" w14:textId="77777777" w:rsidR="00F97400" w:rsidRPr="00AE36F0" w:rsidRDefault="00F97400" w:rsidP="00F97400">
      <w:pPr>
        <w:jc w:val="both"/>
        <w:rPr>
          <w:rFonts w:ascii="Montserrat" w:hAnsi="Montserrat"/>
        </w:rPr>
      </w:pPr>
    </w:p>
    <w:p w14:paraId="4B920A46" w14:textId="77777777" w:rsidR="00F97400" w:rsidRPr="00AE36F0" w:rsidRDefault="00F97400" w:rsidP="00F97400">
      <w:pPr>
        <w:jc w:val="both"/>
        <w:rPr>
          <w:rFonts w:ascii="Montserrat" w:hAnsi="Montserrat"/>
        </w:rPr>
      </w:pPr>
      <w:r w:rsidRPr="00AE36F0">
        <w:rPr>
          <w:rFonts w:ascii="Montserrat" w:hAnsi="Montserrat"/>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3CA0F30D" w14:textId="77777777" w:rsidR="00F97400" w:rsidRPr="00AE36F0" w:rsidRDefault="00F97400" w:rsidP="00F97400">
      <w:pPr>
        <w:jc w:val="both"/>
        <w:rPr>
          <w:rFonts w:ascii="Montserrat" w:hAnsi="Montserrat"/>
        </w:rPr>
      </w:pPr>
    </w:p>
    <w:p w14:paraId="0599087A" w14:textId="77777777" w:rsidR="00F97400" w:rsidRPr="00AE36F0" w:rsidRDefault="00F97400" w:rsidP="00F97400">
      <w:pPr>
        <w:rPr>
          <w:rFonts w:ascii="Montserrat" w:hAnsi="Montserrat"/>
          <w:b/>
        </w:rPr>
      </w:pPr>
      <w:r w:rsidRPr="00AE36F0">
        <w:rPr>
          <w:rFonts w:ascii="Montserrat" w:hAnsi="Montserrat"/>
          <w:b/>
        </w:rPr>
        <w:t>Nota 6.- Inventarios</w:t>
      </w:r>
    </w:p>
    <w:p w14:paraId="5AE6E020" w14:textId="77777777" w:rsidR="00F97400" w:rsidRPr="00AE36F0" w:rsidRDefault="00F97400" w:rsidP="00F97400">
      <w:pPr>
        <w:pStyle w:val="Texto"/>
        <w:spacing w:after="0" w:line="203" w:lineRule="exact"/>
        <w:ind w:firstLine="289"/>
        <w:rPr>
          <w:rFonts w:ascii="Montserrat" w:hAnsi="Montserrat"/>
          <w:b/>
          <w:sz w:val="24"/>
          <w:szCs w:val="24"/>
          <w:lang w:val="es-MX"/>
        </w:rPr>
      </w:pPr>
    </w:p>
    <w:p w14:paraId="6631011E" w14:textId="77777777" w:rsidR="00F97400" w:rsidRPr="00AE36F0" w:rsidRDefault="00F97400" w:rsidP="00F97400">
      <w:pPr>
        <w:jc w:val="both"/>
        <w:rPr>
          <w:rFonts w:ascii="Montserrat" w:hAnsi="Montserrat"/>
        </w:rPr>
      </w:pPr>
      <w:r w:rsidRPr="00AE36F0">
        <w:rPr>
          <w:rFonts w:ascii="Montserrat" w:hAnsi="Montserrat"/>
        </w:rPr>
        <w:t>Dentro del rubro de inventarios las dependencias del Poder Ejecutivo no presentan saldos, toda vez que por su actividad no es una cuenta que se requiera, ya que no cuentan con bienes para su transformación.</w:t>
      </w:r>
    </w:p>
    <w:p w14:paraId="0104BF68" w14:textId="77777777" w:rsidR="00F97400" w:rsidRPr="00AE36F0" w:rsidRDefault="00F97400" w:rsidP="00F97400">
      <w:pPr>
        <w:pStyle w:val="ROMANOS"/>
        <w:spacing w:after="0" w:line="203" w:lineRule="exact"/>
        <w:ind w:hanging="431"/>
        <w:rPr>
          <w:rFonts w:ascii="Montserrat" w:hAnsi="Montserrat"/>
          <w:sz w:val="24"/>
          <w:szCs w:val="24"/>
          <w:lang w:val="es-MX"/>
        </w:rPr>
      </w:pPr>
    </w:p>
    <w:p w14:paraId="2E2FB4A6" w14:textId="77777777" w:rsidR="00F97400" w:rsidRPr="00AE36F0" w:rsidRDefault="00F97400" w:rsidP="00F97400">
      <w:pPr>
        <w:keepNext/>
        <w:rPr>
          <w:rFonts w:ascii="Montserrat" w:hAnsi="Montserrat"/>
          <w:b/>
        </w:rPr>
      </w:pPr>
      <w:r w:rsidRPr="00AE36F0">
        <w:rPr>
          <w:rFonts w:ascii="Montserrat" w:hAnsi="Montserrat"/>
          <w:b/>
        </w:rPr>
        <w:t>Nota 7.- Almacenes</w:t>
      </w:r>
    </w:p>
    <w:p w14:paraId="77322329" w14:textId="77777777" w:rsidR="00F97400" w:rsidRPr="00AE36F0" w:rsidRDefault="00F97400" w:rsidP="00F97400">
      <w:pPr>
        <w:rPr>
          <w:rFonts w:ascii="Montserrat" w:hAnsi="Montserrat"/>
          <w:b/>
        </w:rPr>
      </w:pPr>
    </w:p>
    <w:p w14:paraId="597BE5F3" w14:textId="77777777" w:rsidR="00F97400" w:rsidRPr="00AE36F0" w:rsidRDefault="00F97400" w:rsidP="00F97400">
      <w:pPr>
        <w:jc w:val="both"/>
        <w:rPr>
          <w:rFonts w:ascii="Montserrat" w:hAnsi="Montserrat"/>
        </w:rPr>
      </w:pPr>
      <w:r w:rsidRPr="00AE36F0">
        <w:rPr>
          <w:rFonts w:ascii="Montserrat" w:hAnsi="Montserrat"/>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01317BDD" w14:textId="77777777" w:rsidR="00F97400" w:rsidRPr="00AE36F0" w:rsidRDefault="00F97400" w:rsidP="00F97400">
      <w:pPr>
        <w:rPr>
          <w:rFonts w:ascii="Montserrat" w:hAnsi="Montserrat"/>
          <w:b/>
        </w:rPr>
      </w:pPr>
    </w:p>
    <w:p w14:paraId="626985EE" w14:textId="77777777" w:rsidR="00F97400" w:rsidRPr="00AE36F0" w:rsidRDefault="00F97400" w:rsidP="00F97400">
      <w:pPr>
        <w:rPr>
          <w:rFonts w:ascii="Montserrat" w:hAnsi="Montserrat"/>
        </w:rPr>
      </w:pPr>
      <w:r w:rsidRPr="00AE36F0">
        <w:rPr>
          <w:rFonts w:ascii="Montserrat" w:hAnsi="Montserrat"/>
          <w:b/>
        </w:rPr>
        <w:t>Nota 8.- Inversiones Financieras a Largo Plazo.</w:t>
      </w:r>
    </w:p>
    <w:bookmarkEnd w:id="12"/>
    <w:p w14:paraId="0543E198" w14:textId="77777777" w:rsidR="00F97400" w:rsidRPr="00AE36F0" w:rsidRDefault="00F97400" w:rsidP="00F97400">
      <w:pPr>
        <w:jc w:val="both"/>
        <w:rPr>
          <w:rFonts w:ascii="Montserrat" w:hAnsi="Montserrat"/>
        </w:rPr>
      </w:pPr>
    </w:p>
    <w:p w14:paraId="183232E7" w14:textId="77777777" w:rsidR="00F97400" w:rsidRPr="00AE36F0" w:rsidRDefault="00F97400" w:rsidP="00F97400">
      <w:pPr>
        <w:jc w:val="both"/>
        <w:rPr>
          <w:rFonts w:ascii="Montserrat" w:hAnsi="Montserrat"/>
        </w:rPr>
      </w:pPr>
      <w:r w:rsidRPr="00AE36F0">
        <w:rPr>
          <w:rFonts w:ascii="Montserrat" w:hAnsi="Montserrat"/>
        </w:rPr>
        <w:t>Del activo no circulante el rubro consolidado de Inversiones Financieras a Largo Plazo Consolidado, el saldo al cierre del periodo enero-diciembre de 2025 y 2024, son exclusivos del Poder Ejecutivo, el cual tiene invertido en títulos, valores y demás instrumentos financieros, recuperables en un plazo mayor de doce meses, como se muestra a continuación:</w:t>
      </w:r>
    </w:p>
    <w:p w14:paraId="58D7819D" w14:textId="77777777" w:rsidR="00F97400" w:rsidRPr="00AE36F0" w:rsidRDefault="00F97400" w:rsidP="00F97400">
      <w:pPr>
        <w:jc w:val="both"/>
        <w:rPr>
          <w:rFonts w:ascii="Montserrat" w:hAnsi="Montserrat"/>
        </w:rPr>
      </w:pPr>
    </w:p>
    <w:p w14:paraId="5E9438A1"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t>(Pesos)</w:t>
      </w:r>
    </w:p>
    <w:tbl>
      <w:tblPr>
        <w:tblW w:w="9099" w:type="dxa"/>
        <w:tblInd w:w="55" w:type="dxa"/>
        <w:tblCellMar>
          <w:left w:w="70" w:type="dxa"/>
          <w:right w:w="70" w:type="dxa"/>
        </w:tblCellMar>
        <w:tblLook w:val="04A0" w:firstRow="1" w:lastRow="0" w:firstColumn="1" w:lastColumn="0" w:noHBand="0" w:noVBand="1"/>
      </w:tblPr>
      <w:tblGrid>
        <w:gridCol w:w="4567"/>
        <w:gridCol w:w="2275"/>
        <w:gridCol w:w="2257"/>
      </w:tblGrid>
      <w:tr w:rsidR="00F97400" w:rsidRPr="00AE36F0" w14:paraId="5847EEB0" w14:textId="77777777" w:rsidTr="004B75E1">
        <w:trPr>
          <w:trHeight w:val="320"/>
        </w:trPr>
        <w:tc>
          <w:tcPr>
            <w:tcW w:w="4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74D5519"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7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CC68D6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82B82DC"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45FAF2BA" w14:textId="77777777" w:rsidTr="004B75E1">
        <w:trPr>
          <w:trHeight w:val="305"/>
        </w:trPr>
        <w:tc>
          <w:tcPr>
            <w:tcW w:w="4567" w:type="dxa"/>
            <w:tcBorders>
              <w:top w:val="nil"/>
              <w:left w:val="single" w:sz="8" w:space="0" w:color="auto"/>
              <w:bottom w:val="single" w:sz="8" w:space="0" w:color="auto"/>
              <w:right w:val="single" w:sz="8" w:space="0" w:color="auto"/>
            </w:tcBorders>
            <w:shd w:val="clear" w:color="000000" w:fill="FFFFFF"/>
            <w:vAlign w:val="center"/>
            <w:hideMark/>
          </w:tcPr>
          <w:p w14:paraId="5A9CBBB0" w14:textId="77777777" w:rsidR="00F97400" w:rsidRPr="00AE36F0" w:rsidRDefault="00F97400" w:rsidP="004B75E1">
            <w:pPr>
              <w:rPr>
                <w:rFonts w:ascii="Montserrat" w:eastAsia="Times New Roman" w:hAnsi="Montserrat" w:cs="Arial"/>
                <w:color w:val="000000"/>
                <w:lang w:val="es-MX"/>
              </w:rPr>
            </w:pPr>
            <w:r w:rsidRPr="00AE36F0">
              <w:rPr>
                <w:rFonts w:ascii="Montserrat" w:eastAsia="Times New Roman" w:hAnsi="Montserrat" w:cs="Arial"/>
                <w:color w:val="000000"/>
                <w:lang w:val="es-MX"/>
              </w:rPr>
              <w:t xml:space="preserve">Fideicomisos, Mandatos y Análogos </w:t>
            </w:r>
          </w:p>
        </w:tc>
        <w:tc>
          <w:tcPr>
            <w:tcW w:w="2275" w:type="dxa"/>
            <w:tcBorders>
              <w:top w:val="nil"/>
              <w:left w:val="nil"/>
              <w:bottom w:val="single" w:sz="8" w:space="0" w:color="auto"/>
              <w:right w:val="single" w:sz="8" w:space="0" w:color="auto"/>
            </w:tcBorders>
            <w:shd w:val="clear" w:color="000000" w:fill="FFFFFF"/>
            <w:vAlign w:val="center"/>
            <w:hideMark/>
          </w:tcPr>
          <w:p w14:paraId="49D9426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2,061,615,400</w:t>
            </w:r>
          </w:p>
        </w:tc>
        <w:tc>
          <w:tcPr>
            <w:tcW w:w="2257" w:type="dxa"/>
            <w:tcBorders>
              <w:top w:val="nil"/>
              <w:left w:val="nil"/>
              <w:bottom w:val="single" w:sz="8" w:space="0" w:color="auto"/>
              <w:right w:val="single" w:sz="8" w:space="0" w:color="auto"/>
            </w:tcBorders>
            <w:shd w:val="clear" w:color="000000" w:fill="FFFFFF"/>
            <w:vAlign w:val="center"/>
            <w:hideMark/>
          </w:tcPr>
          <w:p w14:paraId="2ED53FB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1,956,043,021</w:t>
            </w:r>
          </w:p>
        </w:tc>
      </w:tr>
      <w:tr w:rsidR="00F97400" w:rsidRPr="00AE36F0" w14:paraId="04456882" w14:textId="77777777" w:rsidTr="004B75E1">
        <w:trPr>
          <w:trHeight w:val="320"/>
        </w:trPr>
        <w:tc>
          <w:tcPr>
            <w:tcW w:w="4567" w:type="dxa"/>
            <w:tcBorders>
              <w:top w:val="nil"/>
              <w:left w:val="single" w:sz="8" w:space="0" w:color="auto"/>
              <w:bottom w:val="single" w:sz="8" w:space="0" w:color="auto"/>
              <w:right w:val="single" w:sz="8" w:space="0" w:color="auto"/>
            </w:tcBorders>
            <w:shd w:val="clear" w:color="000000" w:fill="FFFFFF"/>
            <w:noWrap/>
            <w:vAlign w:val="center"/>
            <w:hideMark/>
          </w:tcPr>
          <w:p w14:paraId="473EA4D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eastAsia="Times New Roman" w:hAnsi="Montserrat" w:cs="Arial"/>
                <w:b/>
                <w:bCs/>
                <w:color w:val="000000"/>
                <w:lang w:val="es-MX"/>
              </w:rPr>
              <w:t>Suma</w:t>
            </w:r>
          </w:p>
        </w:tc>
        <w:tc>
          <w:tcPr>
            <w:tcW w:w="2275" w:type="dxa"/>
            <w:tcBorders>
              <w:top w:val="nil"/>
              <w:left w:val="nil"/>
              <w:bottom w:val="single" w:sz="8" w:space="0" w:color="auto"/>
              <w:right w:val="single" w:sz="8" w:space="0" w:color="auto"/>
            </w:tcBorders>
            <w:shd w:val="clear" w:color="000000" w:fill="FFFFFF"/>
            <w:noWrap/>
            <w:vAlign w:val="center"/>
            <w:hideMark/>
          </w:tcPr>
          <w:p w14:paraId="4946625C"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2,061,615,400</w:t>
            </w:r>
          </w:p>
        </w:tc>
        <w:tc>
          <w:tcPr>
            <w:tcW w:w="2257" w:type="dxa"/>
            <w:tcBorders>
              <w:top w:val="nil"/>
              <w:left w:val="nil"/>
              <w:bottom w:val="single" w:sz="8" w:space="0" w:color="auto"/>
              <w:right w:val="single" w:sz="8" w:space="0" w:color="auto"/>
            </w:tcBorders>
            <w:shd w:val="clear" w:color="000000" w:fill="FFFFFF"/>
            <w:noWrap/>
            <w:vAlign w:val="center"/>
            <w:hideMark/>
          </w:tcPr>
          <w:p w14:paraId="2C383B3D"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1,956,043,021</w:t>
            </w:r>
          </w:p>
        </w:tc>
      </w:tr>
    </w:tbl>
    <w:p w14:paraId="75C6F26E" w14:textId="77777777" w:rsidR="00F97400" w:rsidRPr="00AE36F0" w:rsidRDefault="00F97400" w:rsidP="00F97400">
      <w:pPr>
        <w:pBdr>
          <w:top w:val="nil"/>
          <w:left w:val="nil"/>
          <w:bottom w:val="nil"/>
          <w:right w:val="nil"/>
          <w:between w:val="nil"/>
        </w:pBdr>
        <w:rPr>
          <w:rFonts w:ascii="Montserrat" w:hAnsi="Montserrat"/>
          <w:b/>
        </w:rPr>
      </w:pPr>
    </w:p>
    <w:p w14:paraId="59FF7961" w14:textId="77777777" w:rsidR="00F97400" w:rsidRPr="00AE36F0" w:rsidRDefault="00F97400" w:rsidP="00F97400">
      <w:pPr>
        <w:rPr>
          <w:rFonts w:ascii="Montserrat" w:hAnsi="Montserrat"/>
          <w:b/>
        </w:rPr>
      </w:pPr>
      <w:bookmarkStart w:id="13" w:name="_Hlk157308841"/>
      <w:bookmarkStart w:id="14" w:name="_Hlk157390724"/>
      <w:r w:rsidRPr="00AE36F0">
        <w:rPr>
          <w:rFonts w:ascii="Montserrat" w:hAnsi="Montserrat"/>
          <w:b/>
        </w:rPr>
        <w:lastRenderedPageBreak/>
        <w:t>Nota 9.- Bienes Muebles, Inmuebles e Intangibles</w:t>
      </w:r>
    </w:p>
    <w:p w14:paraId="38E05E13" w14:textId="77777777" w:rsidR="00F97400" w:rsidRPr="00AE36F0" w:rsidRDefault="00F97400" w:rsidP="00F97400">
      <w:pPr>
        <w:rPr>
          <w:rFonts w:ascii="Montserrat" w:hAnsi="Montserrat"/>
          <w:b/>
        </w:rPr>
      </w:pPr>
    </w:p>
    <w:p w14:paraId="1285BE98" w14:textId="77777777" w:rsidR="00F97400" w:rsidRPr="00AE36F0" w:rsidRDefault="00F97400" w:rsidP="00F97400">
      <w:pPr>
        <w:rPr>
          <w:rFonts w:ascii="Montserrat" w:hAnsi="Montserrat"/>
          <w:b/>
        </w:rPr>
      </w:pPr>
      <w:r w:rsidRPr="00AE36F0">
        <w:rPr>
          <w:rFonts w:ascii="Montserrat" w:hAnsi="Montserrat"/>
          <w:b/>
        </w:rPr>
        <w:t>Bienes Inmuebles, Infraestructura y Construcciones en Proceso.</w:t>
      </w:r>
    </w:p>
    <w:bookmarkEnd w:id="13"/>
    <w:p w14:paraId="2FED8FD5" w14:textId="77777777" w:rsidR="00F97400" w:rsidRPr="00AE36F0" w:rsidRDefault="00F97400" w:rsidP="00F97400">
      <w:pPr>
        <w:jc w:val="both"/>
        <w:rPr>
          <w:rFonts w:ascii="Montserrat" w:hAnsi="Montserrat"/>
        </w:rPr>
      </w:pPr>
    </w:p>
    <w:bookmarkEnd w:id="14"/>
    <w:p w14:paraId="47B3A436"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enero-diciembre de 2025 y 2024, se integran de la siguiente forma</w:t>
      </w:r>
    </w:p>
    <w:p w14:paraId="51AF908B" w14:textId="77777777" w:rsidR="00F97400" w:rsidRPr="00AE36F0" w:rsidRDefault="00F97400" w:rsidP="00F97400">
      <w:pPr>
        <w:keepNext/>
        <w:keepLines/>
        <w:pBdr>
          <w:top w:val="nil"/>
          <w:left w:val="nil"/>
          <w:bottom w:val="nil"/>
          <w:right w:val="nil"/>
          <w:between w:val="nil"/>
        </w:pBdr>
        <w:jc w:val="center"/>
        <w:rPr>
          <w:rFonts w:ascii="Montserrat" w:hAnsi="Montserrat"/>
          <w:b/>
        </w:rPr>
      </w:pPr>
    </w:p>
    <w:p w14:paraId="57491809" w14:textId="77777777" w:rsidR="00F97400" w:rsidRPr="00AE36F0" w:rsidRDefault="00F97400" w:rsidP="00F97400">
      <w:pPr>
        <w:keepNext/>
        <w:keepLines/>
        <w:pBdr>
          <w:top w:val="nil"/>
          <w:left w:val="nil"/>
          <w:bottom w:val="nil"/>
          <w:right w:val="nil"/>
          <w:between w:val="nil"/>
        </w:pBdr>
        <w:jc w:val="center"/>
        <w:rPr>
          <w:rFonts w:ascii="Montserrat" w:hAnsi="Montserrat"/>
          <w:b/>
        </w:rPr>
      </w:pPr>
      <w:r w:rsidRPr="00AE36F0">
        <w:rPr>
          <w:rFonts w:ascii="Montserrat" w:hAnsi="Montserrat"/>
          <w:b/>
        </w:rPr>
        <w:t>(Pesos)</w:t>
      </w:r>
    </w:p>
    <w:tbl>
      <w:tblPr>
        <w:tblW w:w="9008" w:type="dxa"/>
        <w:tblInd w:w="55"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104"/>
        <w:gridCol w:w="1958"/>
        <w:gridCol w:w="1946"/>
      </w:tblGrid>
      <w:tr w:rsidR="00F97400" w:rsidRPr="00AE36F0" w14:paraId="28811C8D" w14:textId="77777777" w:rsidTr="004B75E1">
        <w:trPr>
          <w:trHeight w:val="311"/>
        </w:trPr>
        <w:tc>
          <w:tcPr>
            <w:tcW w:w="5104" w:type="dxa"/>
            <w:shd w:val="clear" w:color="auto" w:fill="D9D9D9" w:themeFill="background1" w:themeFillShade="D9"/>
            <w:vAlign w:val="center"/>
            <w:hideMark/>
          </w:tcPr>
          <w:p w14:paraId="2A2BEE8F"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1958" w:type="dxa"/>
            <w:shd w:val="clear" w:color="auto" w:fill="D9D9D9" w:themeFill="background1" w:themeFillShade="D9"/>
            <w:vAlign w:val="center"/>
            <w:hideMark/>
          </w:tcPr>
          <w:p w14:paraId="726B9CE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1946" w:type="dxa"/>
            <w:shd w:val="clear" w:color="auto" w:fill="D9D9D9" w:themeFill="background1" w:themeFillShade="D9"/>
            <w:vAlign w:val="center"/>
            <w:hideMark/>
          </w:tcPr>
          <w:p w14:paraId="256ED8D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6A8CE468" w14:textId="77777777" w:rsidTr="004B75E1">
        <w:trPr>
          <w:trHeight w:val="281"/>
        </w:trPr>
        <w:tc>
          <w:tcPr>
            <w:tcW w:w="5104" w:type="dxa"/>
            <w:shd w:val="clear" w:color="000000" w:fill="FFFFFF"/>
            <w:noWrap/>
            <w:vAlign w:val="center"/>
            <w:hideMark/>
          </w:tcPr>
          <w:p w14:paraId="7C311766"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Terrenos</w:t>
            </w:r>
          </w:p>
        </w:tc>
        <w:tc>
          <w:tcPr>
            <w:tcW w:w="1958" w:type="dxa"/>
            <w:shd w:val="clear" w:color="000000" w:fill="FFFFFF"/>
            <w:vAlign w:val="center"/>
            <w:hideMark/>
          </w:tcPr>
          <w:p w14:paraId="025B9D8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6,248,463,196</w:t>
            </w:r>
          </w:p>
        </w:tc>
        <w:tc>
          <w:tcPr>
            <w:tcW w:w="1946" w:type="dxa"/>
            <w:shd w:val="clear" w:color="000000" w:fill="FFFFFF"/>
            <w:vAlign w:val="center"/>
            <w:hideMark/>
          </w:tcPr>
          <w:p w14:paraId="0FB6955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5,788,439,769</w:t>
            </w:r>
          </w:p>
        </w:tc>
      </w:tr>
      <w:tr w:rsidR="00F97400" w:rsidRPr="00AE36F0" w14:paraId="422495F2" w14:textId="77777777" w:rsidTr="004B75E1">
        <w:trPr>
          <w:trHeight w:val="281"/>
        </w:trPr>
        <w:tc>
          <w:tcPr>
            <w:tcW w:w="5104" w:type="dxa"/>
            <w:shd w:val="clear" w:color="000000" w:fill="FFFFFF"/>
            <w:noWrap/>
            <w:vAlign w:val="center"/>
            <w:hideMark/>
          </w:tcPr>
          <w:p w14:paraId="3A234F89"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Edificios No Habitacionales</w:t>
            </w:r>
          </w:p>
        </w:tc>
        <w:tc>
          <w:tcPr>
            <w:tcW w:w="1958" w:type="dxa"/>
            <w:shd w:val="clear" w:color="000000" w:fill="FFFFFF"/>
            <w:vAlign w:val="center"/>
            <w:hideMark/>
          </w:tcPr>
          <w:p w14:paraId="77AF07D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6,045,722,602</w:t>
            </w:r>
          </w:p>
        </w:tc>
        <w:tc>
          <w:tcPr>
            <w:tcW w:w="1946" w:type="dxa"/>
            <w:shd w:val="clear" w:color="000000" w:fill="FFFFFF"/>
            <w:vAlign w:val="center"/>
            <w:hideMark/>
          </w:tcPr>
          <w:p w14:paraId="10CDCC5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5,655,908,427</w:t>
            </w:r>
          </w:p>
        </w:tc>
      </w:tr>
      <w:tr w:rsidR="00F97400" w:rsidRPr="00AE36F0" w14:paraId="65EF3138" w14:textId="77777777" w:rsidTr="004B75E1">
        <w:trPr>
          <w:trHeight w:val="563"/>
        </w:trPr>
        <w:tc>
          <w:tcPr>
            <w:tcW w:w="5104" w:type="dxa"/>
            <w:shd w:val="clear" w:color="000000" w:fill="FFFFFF"/>
            <w:noWrap/>
            <w:vAlign w:val="center"/>
            <w:hideMark/>
          </w:tcPr>
          <w:p w14:paraId="1099402E"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Construcciones En Proceso En Bienes De Dominio Público</w:t>
            </w:r>
          </w:p>
        </w:tc>
        <w:tc>
          <w:tcPr>
            <w:tcW w:w="1958" w:type="dxa"/>
            <w:shd w:val="clear" w:color="000000" w:fill="FFFFFF"/>
            <w:vAlign w:val="center"/>
            <w:hideMark/>
          </w:tcPr>
          <w:p w14:paraId="623FE15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7,435,522,985</w:t>
            </w:r>
          </w:p>
        </w:tc>
        <w:tc>
          <w:tcPr>
            <w:tcW w:w="1946" w:type="dxa"/>
            <w:shd w:val="clear" w:color="000000" w:fill="FFFFFF"/>
            <w:vAlign w:val="center"/>
            <w:hideMark/>
          </w:tcPr>
          <w:p w14:paraId="47B42B5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6,949,517,145</w:t>
            </w:r>
          </w:p>
        </w:tc>
      </w:tr>
      <w:tr w:rsidR="00F97400" w:rsidRPr="00AE36F0" w14:paraId="5C89B7C7" w14:textId="77777777" w:rsidTr="004B75E1">
        <w:trPr>
          <w:trHeight w:val="281"/>
        </w:trPr>
        <w:tc>
          <w:tcPr>
            <w:tcW w:w="5104" w:type="dxa"/>
            <w:shd w:val="clear" w:color="000000" w:fill="FFFFFF"/>
            <w:noWrap/>
            <w:vAlign w:val="center"/>
            <w:hideMark/>
          </w:tcPr>
          <w:p w14:paraId="24402D4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Construcciones En Proceso En Bienes Propios</w:t>
            </w:r>
          </w:p>
        </w:tc>
        <w:tc>
          <w:tcPr>
            <w:tcW w:w="1958" w:type="dxa"/>
            <w:shd w:val="clear" w:color="000000" w:fill="FFFFFF"/>
            <w:vAlign w:val="center"/>
            <w:hideMark/>
          </w:tcPr>
          <w:p w14:paraId="4D15C0E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119,837,432</w:t>
            </w:r>
          </w:p>
        </w:tc>
        <w:tc>
          <w:tcPr>
            <w:tcW w:w="1946" w:type="dxa"/>
            <w:shd w:val="clear" w:color="000000" w:fill="FFFFFF"/>
            <w:vAlign w:val="center"/>
            <w:hideMark/>
          </w:tcPr>
          <w:p w14:paraId="56963C0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112,218,143</w:t>
            </w:r>
          </w:p>
        </w:tc>
      </w:tr>
      <w:tr w:rsidR="00F97400" w:rsidRPr="00AE36F0" w14:paraId="1E00F147" w14:textId="77777777" w:rsidTr="004B75E1">
        <w:trPr>
          <w:trHeight w:val="281"/>
        </w:trPr>
        <w:tc>
          <w:tcPr>
            <w:tcW w:w="5104" w:type="dxa"/>
            <w:shd w:val="clear" w:color="000000" w:fill="FFFFFF"/>
            <w:noWrap/>
            <w:vAlign w:val="center"/>
            <w:hideMark/>
          </w:tcPr>
          <w:p w14:paraId="2A5C21F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Otros Bienes Inmuebles</w:t>
            </w:r>
          </w:p>
        </w:tc>
        <w:tc>
          <w:tcPr>
            <w:tcW w:w="1958" w:type="dxa"/>
            <w:shd w:val="clear" w:color="000000" w:fill="FFFFFF"/>
            <w:vAlign w:val="center"/>
            <w:hideMark/>
          </w:tcPr>
          <w:p w14:paraId="2B8FBDF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170,015,257</w:t>
            </w:r>
          </w:p>
        </w:tc>
        <w:tc>
          <w:tcPr>
            <w:tcW w:w="1946" w:type="dxa"/>
            <w:shd w:val="clear" w:color="000000" w:fill="FFFFFF"/>
            <w:vAlign w:val="center"/>
            <w:hideMark/>
          </w:tcPr>
          <w:p w14:paraId="4476D61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0</w:t>
            </w:r>
          </w:p>
        </w:tc>
      </w:tr>
      <w:tr w:rsidR="00F97400" w:rsidRPr="00AE36F0" w14:paraId="0B594581" w14:textId="77777777" w:rsidTr="004B75E1">
        <w:trPr>
          <w:trHeight w:val="296"/>
        </w:trPr>
        <w:tc>
          <w:tcPr>
            <w:tcW w:w="5104" w:type="dxa"/>
            <w:shd w:val="clear" w:color="000000" w:fill="FFFFFF"/>
            <w:noWrap/>
            <w:vAlign w:val="center"/>
            <w:hideMark/>
          </w:tcPr>
          <w:p w14:paraId="2534E2FF"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w:t>
            </w:r>
            <w:r w:rsidRPr="00AE36F0">
              <w:rPr>
                <w:rFonts w:ascii="Montserrat" w:hAnsi="Montserrat"/>
                <w:b/>
              </w:rPr>
              <w:t>Bienes Inmuebles</w:t>
            </w:r>
          </w:p>
        </w:tc>
        <w:tc>
          <w:tcPr>
            <w:tcW w:w="1958" w:type="dxa"/>
            <w:shd w:val="clear" w:color="000000" w:fill="FFFFFF"/>
            <w:vAlign w:val="center"/>
            <w:hideMark/>
          </w:tcPr>
          <w:p w14:paraId="78F51EEF"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20,019,561,472</w:t>
            </w:r>
          </w:p>
        </w:tc>
        <w:tc>
          <w:tcPr>
            <w:tcW w:w="1946" w:type="dxa"/>
            <w:shd w:val="clear" w:color="000000" w:fill="FFFFFF"/>
            <w:vAlign w:val="center"/>
            <w:hideMark/>
          </w:tcPr>
          <w:p w14:paraId="6EB0AFE8"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18,506,083,485</w:t>
            </w:r>
          </w:p>
        </w:tc>
      </w:tr>
    </w:tbl>
    <w:p w14:paraId="7ACC20D4" w14:textId="77777777" w:rsidR="00F97400" w:rsidRPr="00AE36F0" w:rsidRDefault="00F97400" w:rsidP="00F97400">
      <w:pPr>
        <w:tabs>
          <w:tab w:val="right" w:pos="8931"/>
        </w:tabs>
        <w:jc w:val="both"/>
        <w:rPr>
          <w:rFonts w:ascii="Montserrat" w:hAnsi="Montserrat"/>
          <w:b/>
        </w:rPr>
      </w:pPr>
    </w:p>
    <w:p w14:paraId="1D340A67" w14:textId="77777777" w:rsidR="00F97400" w:rsidRPr="00AE36F0" w:rsidRDefault="00F97400" w:rsidP="00F97400">
      <w:pPr>
        <w:keepNext/>
        <w:rPr>
          <w:rFonts w:ascii="Montserrat" w:hAnsi="Montserrat"/>
          <w:b/>
        </w:rPr>
      </w:pPr>
      <w:r w:rsidRPr="00AE36F0">
        <w:rPr>
          <w:rFonts w:ascii="Montserrat" w:hAnsi="Montserrat"/>
          <w:b/>
        </w:rPr>
        <w:t>Bienes Muebles.</w:t>
      </w:r>
    </w:p>
    <w:p w14:paraId="707FC651" w14:textId="77777777" w:rsidR="00F97400" w:rsidRPr="00AE36F0" w:rsidRDefault="00F97400" w:rsidP="00F97400">
      <w:pPr>
        <w:jc w:val="both"/>
        <w:rPr>
          <w:rFonts w:ascii="Montserrat" w:hAnsi="Montserrat"/>
          <w:b/>
        </w:rPr>
      </w:pPr>
    </w:p>
    <w:p w14:paraId="70E7F467" w14:textId="77777777" w:rsidR="00F97400" w:rsidRDefault="00F97400" w:rsidP="00F97400">
      <w:pPr>
        <w:pBdr>
          <w:top w:val="nil"/>
          <w:left w:val="nil"/>
          <w:bottom w:val="nil"/>
          <w:right w:val="nil"/>
          <w:between w:val="nil"/>
        </w:pBdr>
        <w:jc w:val="both"/>
        <w:rPr>
          <w:rFonts w:ascii="Montserrat" w:hAnsi="Montserrat"/>
        </w:rPr>
      </w:pPr>
      <w:r w:rsidRPr="00AE36F0">
        <w:rPr>
          <w:rFonts w:ascii="Montserrat" w:hAnsi="Montserrat"/>
        </w:rPr>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enero-diciembre de 2025 y 2024, se detalla a continuación:</w:t>
      </w:r>
    </w:p>
    <w:p w14:paraId="1E995C89" w14:textId="77777777" w:rsidR="00F13C24" w:rsidRDefault="00F13C24" w:rsidP="00F97400">
      <w:pPr>
        <w:pBdr>
          <w:top w:val="nil"/>
          <w:left w:val="nil"/>
          <w:bottom w:val="nil"/>
          <w:right w:val="nil"/>
          <w:between w:val="nil"/>
        </w:pBdr>
        <w:jc w:val="both"/>
        <w:rPr>
          <w:rFonts w:ascii="Montserrat" w:hAnsi="Montserrat"/>
        </w:rPr>
      </w:pPr>
    </w:p>
    <w:p w14:paraId="47FDD088" w14:textId="77777777" w:rsidR="00F13C24" w:rsidRPr="00AE36F0" w:rsidRDefault="00F13C24" w:rsidP="00F97400">
      <w:pPr>
        <w:pBdr>
          <w:top w:val="nil"/>
          <w:left w:val="nil"/>
          <w:bottom w:val="nil"/>
          <w:right w:val="nil"/>
          <w:between w:val="nil"/>
        </w:pBdr>
        <w:jc w:val="both"/>
        <w:rPr>
          <w:rFonts w:ascii="Montserrat" w:hAnsi="Montserrat"/>
        </w:rPr>
      </w:pPr>
    </w:p>
    <w:p w14:paraId="1DEACFE0" w14:textId="77777777" w:rsidR="00F97400" w:rsidRPr="00AE36F0" w:rsidRDefault="00F97400" w:rsidP="00F97400">
      <w:pPr>
        <w:pBdr>
          <w:top w:val="nil"/>
          <w:left w:val="nil"/>
          <w:bottom w:val="nil"/>
          <w:right w:val="nil"/>
          <w:between w:val="nil"/>
        </w:pBdr>
        <w:jc w:val="both"/>
        <w:rPr>
          <w:rFonts w:ascii="Montserrat" w:hAnsi="Montserrat"/>
        </w:rPr>
      </w:pPr>
    </w:p>
    <w:p w14:paraId="5435766D" w14:textId="77777777" w:rsidR="00F97400" w:rsidRPr="00AE36F0" w:rsidRDefault="00F97400" w:rsidP="00F97400">
      <w:pPr>
        <w:jc w:val="center"/>
        <w:rPr>
          <w:rFonts w:ascii="Montserrat" w:hAnsi="Montserrat"/>
        </w:rPr>
      </w:pPr>
      <w:r w:rsidRPr="00AE36F0">
        <w:rPr>
          <w:rFonts w:ascii="Montserrat" w:hAnsi="Montserrat"/>
          <w:b/>
        </w:rPr>
        <w:lastRenderedPageBreak/>
        <w:t>(Pesos)</w:t>
      </w:r>
    </w:p>
    <w:tbl>
      <w:tblPr>
        <w:tblW w:w="899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15"/>
        <w:gridCol w:w="2248"/>
        <w:gridCol w:w="2231"/>
      </w:tblGrid>
      <w:tr w:rsidR="00F97400" w:rsidRPr="00AE36F0" w14:paraId="3D83E1BD" w14:textId="77777777" w:rsidTr="004B75E1">
        <w:trPr>
          <w:trHeight w:val="314"/>
        </w:trPr>
        <w:tc>
          <w:tcPr>
            <w:tcW w:w="4515" w:type="dxa"/>
            <w:shd w:val="clear" w:color="auto" w:fill="D9D9D9" w:themeFill="background1" w:themeFillShade="D9"/>
            <w:vAlign w:val="center"/>
            <w:hideMark/>
          </w:tcPr>
          <w:p w14:paraId="220D1A5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48" w:type="dxa"/>
            <w:shd w:val="clear" w:color="auto" w:fill="D9D9D9" w:themeFill="background1" w:themeFillShade="D9"/>
            <w:vAlign w:val="center"/>
            <w:hideMark/>
          </w:tcPr>
          <w:p w14:paraId="6BB7BD1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1" w:type="dxa"/>
            <w:shd w:val="clear" w:color="auto" w:fill="D9D9D9" w:themeFill="background1" w:themeFillShade="D9"/>
            <w:vAlign w:val="center"/>
            <w:hideMark/>
          </w:tcPr>
          <w:p w14:paraId="02DEEF02"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07C1DA2C" w14:textId="77777777" w:rsidTr="004B75E1">
        <w:trPr>
          <w:trHeight w:val="284"/>
        </w:trPr>
        <w:tc>
          <w:tcPr>
            <w:tcW w:w="4515" w:type="dxa"/>
            <w:shd w:val="clear" w:color="000000" w:fill="FFFFFF"/>
            <w:noWrap/>
            <w:vAlign w:val="center"/>
            <w:hideMark/>
          </w:tcPr>
          <w:p w14:paraId="0777EA7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Mobiliario y Equipo de Administración</w:t>
            </w:r>
          </w:p>
        </w:tc>
        <w:tc>
          <w:tcPr>
            <w:tcW w:w="2248" w:type="dxa"/>
            <w:shd w:val="clear" w:color="000000" w:fill="FFFFFF"/>
            <w:noWrap/>
            <w:vAlign w:val="center"/>
            <w:hideMark/>
          </w:tcPr>
          <w:p w14:paraId="1E6B1A7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576,537,206</w:t>
            </w:r>
          </w:p>
        </w:tc>
        <w:tc>
          <w:tcPr>
            <w:tcW w:w="2231" w:type="dxa"/>
            <w:shd w:val="clear" w:color="000000" w:fill="FFFFFF"/>
            <w:noWrap/>
            <w:vAlign w:val="center"/>
            <w:hideMark/>
          </w:tcPr>
          <w:p w14:paraId="0DE43B4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599,834,122</w:t>
            </w:r>
          </w:p>
        </w:tc>
      </w:tr>
      <w:tr w:rsidR="00F97400" w:rsidRPr="00AE36F0" w14:paraId="21830C54" w14:textId="77777777" w:rsidTr="004B75E1">
        <w:trPr>
          <w:trHeight w:val="284"/>
        </w:trPr>
        <w:tc>
          <w:tcPr>
            <w:tcW w:w="4515" w:type="dxa"/>
            <w:shd w:val="clear" w:color="000000" w:fill="FFFFFF"/>
            <w:noWrap/>
            <w:vAlign w:val="center"/>
            <w:hideMark/>
          </w:tcPr>
          <w:p w14:paraId="32DB8E3F"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Mobiliario y Equipo Educacional y Recreativo</w:t>
            </w:r>
          </w:p>
        </w:tc>
        <w:tc>
          <w:tcPr>
            <w:tcW w:w="2248" w:type="dxa"/>
            <w:shd w:val="clear" w:color="000000" w:fill="FFFFFF"/>
            <w:noWrap/>
            <w:vAlign w:val="center"/>
            <w:hideMark/>
          </w:tcPr>
          <w:p w14:paraId="2BECCC9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202,752,817</w:t>
            </w:r>
          </w:p>
        </w:tc>
        <w:tc>
          <w:tcPr>
            <w:tcW w:w="2231" w:type="dxa"/>
            <w:shd w:val="clear" w:color="000000" w:fill="FFFFFF"/>
            <w:noWrap/>
            <w:vAlign w:val="center"/>
            <w:hideMark/>
          </w:tcPr>
          <w:p w14:paraId="3670D40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191,440,791</w:t>
            </w:r>
          </w:p>
        </w:tc>
      </w:tr>
      <w:tr w:rsidR="00F97400" w:rsidRPr="00AE36F0" w14:paraId="106030DD" w14:textId="77777777" w:rsidTr="004B75E1">
        <w:trPr>
          <w:trHeight w:val="284"/>
        </w:trPr>
        <w:tc>
          <w:tcPr>
            <w:tcW w:w="4515" w:type="dxa"/>
            <w:shd w:val="clear" w:color="000000" w:fill="FFFFFF"/>
            <w:noWrap/>
            <w:vAlign w:val="center"/>
            <w:hideMark/>
          </w:tcPr>
          <w:p w14:paraId="3B7CA8B0"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Equipo e Instrumental Médico y de Laboratorio</w:t>
            </w:r>
          </w:p>
        </w:tc>
        <w:tc>
          <w:tcPr>
            <w:tcW w:w="2248" w:type="dxa"/>
            <w:shd w:val="clear" w:color="000000" w:fill="FFFFFF"/>
            <w:noWrap/>
            <w:vAlign w:val="center"/>
            <w:hideMark/>
          </w:tcPr>
          <w:p w14:paraId="38604E4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19,149,411</w:t>
            </w:r>
          </w:p>
        </w:tc>
        <w:tc>
          <w:tcPr>
            <w:tcW w:w="2231" w:type="dxa"/>
            <w:shd w:val="clear" w:color="000000" w:fill="FFFFFF"/>
            <w:noWrap/>
            <w:vAlign w:val="center"/>
            <w:hideMark/>
          </w:tcPr>
          <w:p w14:paraId="61A84B5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18,545,655</w:t>
            </w:r>
          </w:p>
        </w:tc>
      </w:tr>
      <w:tr w:rsidR="00F97400" w:rsidRPr="00AE36F0" w14:paraId="6D977E8C" w14:textId="77777777" w:rsidTr="004B75E1">
        <w:trPr>
          <w:trHeight w:val="284"/>
        </w:trPr>
        <w:tc>
          <w:tcPr>
            <w:tcW w:w="4515" w:type="dxa"/>
            <w:shd w:val="clear" w:color="000000" w:fill="FFFFFF"/>
            <w:noWrap/>
            <w:vAlign w:val="center"/>
            <w:hideMark/>
          </w:tcPr>
          <w:p w14:paraId="553F4E59"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Vehículos y Equipo de Transporte</w:t>
            </w:r>
          </w:p>
        </w:tc>
        <w:tc>
          <w:tcPr>
            <w:tcW w:w="2248" w:type="dxa"/>
            <w:shd w:val="clear" w:color="000000" w:fill="FFFFFF"/>
            <w:noWrap/>
            <w:vAlign w:val="center"/>
            <w:hideMark/>
          </w:tcPr>
          <w:p w14:paraId="78AD91C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1,245,482,923</w:t>
            </w:r>
          </w:p>
        </w:tc>
        <w:tc>
          <w:tcPr>
            <w:tcW w:w="2231" w:type="dxa"/>
            <w:shd w:val="clear" w:color="000000" w:fill="FFFFFF"/>
            <w:noWrap/>
            <w:vAlign w:val="center"/>
            <w:hideMark/>
          </w:tcPr>
          <w:p w14:paraId="35BEA39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1,123,069,764</w:t>
            </w:r>
          </w:p>
        </w:tc>
      </w:tr>
      <w:tr w:rsidR="00F97400" w:rsidRPr="00AE36F0" w14:paraId="42D611DA" w14:textId="77777777" w:rsidTr="004B75E1">
        <w:trPr>
          <w:trHeight w:val="284"/>
        </w:trPr>
        <w:tc>
          <w:tcPr>
            <w:tcW w:w="4515" w:type="dxa"/>
            <w:shd w:val="clear" w:color="000000" w:fill="FFFFFF"/>
            <w:noWrap/>
            <w:vAlign w:val="center"/>
            <w:hideMark/>
          </w:tcPr>
          <w:p w14:paraId="67DEA9C2"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Equipo de Defensa y Seguridad</w:t>
            </w:r>
          </w:p>
        </w:tc>
        <w:tc>
          <w:tcPr>
            <w:tcW w:w="2248" w:type="dxa"/>
            <w:shd w:val="clear" w:color="000000" w:fill="FFFFFF"/>
            <w:noWrap/>
            <w:vAlign w:val="center"/>
            <w:hideMark/>
          </w:tcPr>
          <w:p w14:paraId="64235CB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260,528,643</w:t>
            </w:r>
          </w:p>
        </w:tc>
        <w:tc>
          <w:tcPr>
            <w:tcW w:w="2231" w:type="dxa"/>
            <w:shd w:val="clear" w:color="000000" w:fill="FFFFFF"/>
            <w:noWrap/>
            <w:vAlign w:val="center"/>
            <w:hideMark/>
          </w:tcPr>
          <w:p w14:paraId="3BA84E7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245,010,471</w:t>
            </w:r>
          </w:p>
        </w:tc>
      </w:tr>
      <w:tr w:rsidR="00F97400" w:rsidRPr="00AE36F0" w14:paraId="04BEE0C9" w14:textId="77777777" w:rsidTr="004B75E1">
        <w:trPr>
          <w:trHeight w:val="284"/>
        </w:trPr>
        <w:tc>
          <w:tcPr>
            <w:tcW w:w="4515" w:type="dxa"/>
            <w:shd w:val="clear" w:color="000000" w:fill="FFFFFF"/>
            <w:noWrap/>
            <w:vAlign w:val="center"/>
            <w:hideMark/>
          </w:tcPr>
          <w:p w14:paraId="2977B901"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Maquinaria, Otros Equipos y Herramientas</w:t>
            </w:r>
          </w:p>
        </w:tc>
        <w:tc>
          <w:tcPr>
            <w:tcW w:w="2248" w:type="dxa"/>
            <w:shd w:val="clear" w:color="000000" w:fill="FFFFFF"/>
            <w:noWrap/>
            <w:vAlign w:val="center"/>
            <w:hideMark/>
          </w:tcPr>
          <w:p w14:paraId="710128E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429,888,251</w:t>
            </w:r>
          </w:p>
        </w:tc>
        <w:tc>
          <w:tcPr>
            <w:tcW w:w="2231" w:type="dxa"/>
            <w:shd w:val="clear" w:color="000000" w:fill="FFFFFF"/>
            <w:noWrap/>
            <w:vAlign w:val="center"/>
            <w:hideMark/>
          </w:tcPr>
          <w:p w14:paraId="548B72C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394,577,563</w:t>
            </w:r>
          </w:p>
        </w:tc>
      </w:tr>
      <w:tr w:rsidR="00F97400" w:rsidRPr="00AE36F0" w14:paraId="78260FBA" w14:textId="77777777" w:rsidTr="004B75E1">
        <w:trPr>
          <w:trHeight w:val="284"/>
        </w:trPr>
        <w:tc>
          <w:tcPr>
            <w:tcW w:w="4515" w:type="dxa"/>
            <w:shd w:val="clear" w:color="000000" w:fill="FFFFFF"/>
            <w:noWrap/>
            <w:vAlign w:val="center"/>
            <w:hideMark/>
          </w:tcPr>
          <w:p w14:paraId="29C2441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Colecciones, Obras de Arte y Objetos Valiosos</w:t>
            </w:r>
          </w:p>
        </w:tc>
        <w:tc>
          <w:tcPr>
            <w:tcW w:w="2248" w:type="dxa"/>
            <w:shd w:val="clear" w:color="000000" w:fill="FFFFFF"/>
            <w:noWrap/>
            <w:vAlign w:val="center"/>
            <w:hideMark/>
          </w:tcPr>
          <w:p w14:paraId="1CBB856B"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63,091,973</w:t>
            </w:r>
          </w:p>
        </w:tc>
        <w:tc>
          <w:tcPr>
            <w:tcW w:w="2231" w:type="dxa"/>
            <w:shd w:val="clear" w:color="000000" w:fill="FFFFFF"/>
            <w:noWrap/>
            <w:vAlign w:val="center"/>
            <w:hideMark/>
          </w:tcPr>
          <w:p w14:paraId="60FA29E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56,553,973</w:t>
            </w:r>
          </w:p>
        </w:tc>
      </w:tr>
      <w:tr w:rsidR="00F97400" w:rsidRPr="00AE36F0" w14:paraId="0EE4138A" w14:textId="77777777" w:rsidTr="004B75E1">
        <w:trPr>
          <w:trHeight w:val="299"/>
        </w:trPr>
        <w:tc>
          <w:tcPr>
            <w:tcW w:w="4515" w:type="dxa"/>
            <w:shd w:val="clear" w:color="000000" w:fill="FFFFFF"/>
            <w:noWrap/>
            <w:vAlign w:val="center"/>
            <w:hideMark/>
          </w:tcPr>
          <w:p w14:paraId="67365518"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Activos Biológicos</w:t>
            </w:r>
          </w:p>
        </w:tc>
        <w:tc>
          <w:tcPr>
            <w:tcW w:w="2248" w:type="dxa"/>
            <w:shd w:val="clear" w:color="000000" w:fill="FFFFFF"/>
            <w:noWrap/>
            <w:vAlign w:val="center"/>
            <w:hideMark/>
          </w:tcPr>
          <w:p w14:paraId="2A6B63B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0</w:t>
            </w:r>
          </w:p>
        </w:tc>
        <w:tc>
          <w:tcPr>
            <w:tcW w:w="2231" w:type="dxa"/>
            <w:shd w:val="clear" w:color="000000" w:fill="FFFFFF"/>
            <w:noWrap/>
            <w:vAlign w:val="center"/>
            <w:hideMark/>
          </w:tcPr>
          <w:p w14:paraId="74DE4AAF"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184,000</w:t>
            </w:r>
          </w:p>
        </w:tc>
      </w:tr>
      <w:tr w:rsidR="00F97400" w:rsidRPr="00AE36F0" w14:paraId="3E4BD2C7" w14:textId="77777777" w:rsidTr="004B75E1">
        <w:trPr>
          <w:trHeight w:val="314"/>
        </w:trPr>
        <w:tc>
          <w:tcPr>
            <w:tcW w:w="4515" w:type="dxa"/>
            <w:shd w:val="clear" w:color="000000" w:fill="FFFFFF"/>
            <w:noWrap/>
            <w:vAlign w:val="center"/>
            <w:hideMark/>
          </w:tcPr>
          <w:p w14:paraId="5ECE4144"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w:t>
            </w:r>
            <w:r w:rsidRPr="00AE36F0">
              <w:rPr>
                <w:rFonts w:ascii="Montserrat" w:hAnsi="Montserrat"/>
                <w:b/>
              </w:rPr>
              <w:t>Bienes Muebles</w:t>
            </w:r>
          </w:p>
        </w:tc>
        <w:tc>
          <w:tcPr>
            <w:tcW w:w="2248" w:type="dxa"/>
            <w:shd w:val="clear" w:color="000000" w:fill="FFFFFF"/>
            <w:vAlign w:val="center"/>
            <w:hideMark/>
          </w:tcPr>
          <w:p w14:paraId="29AAA70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2,797,431,225</w:t>
            </w:r>
          </w:p>
        </w:tc>
        <w:tc>
          <w:tcPr>
            <w:tcW w:w="2231" w:type="dxa"/>
            <w:shd w:val="clear" w:color="000000" w:fill="FFFFFF"/>
            <w:vAlign w:val="center"/>
            <w:hideMark/>
          </w:tcPr>
          <w:p w14:paraId="12D63214"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2,629,216,339</w:t>
            </w:r>
          </w:p>
        </w:tc>
      </w:tr>
    </w:tbl>
    <w:p w14:paraId="7DE1E7E4" w14:textId="77777777" w:rsidR="00F97400" w:rsidRPr="00AE36F0" w:rsidRDefault="00F97400" w:rsidP="00F97400">
      <w:pPr>
        <w:jc w:val="both"/>
        <w:rPr>
          <w:rFonts w:ascii="Montserrat" w:hAnsi="Montserrat"/>
          <w:b/>
        </w:rPr>
      </w:pPr>
    </w:p>
    <w:p w14:paraId="5E8A2098" w14:textId="77777777" w:rsidR="00F97400" w:rsidRPr="00AE36F0" w:rsidRDefault="00F97400" w:rsidP="00F97400">
      <w:pPr>
        <w:jc w:val="both"/>
        <w:rPr>
          <w:rFonts w:ascii="Montserrat" w:hAnsi="Montserrat"/>
          <w:b/>
        </w:rPr>
      </w:pPr>
      <w:r w:rsidRPr="00AE36F0">
        <w:rPr>
          <w:rFonts w:ascii="Montserrat" w:hAnsi="Montserrat"/>
          <w:b/>
        </w:rPr>
        <w:t>Activos Intangibles.</w:t>
      </w:r>
    </w:p>
    <w:p w14:paraId="74115057" w14:textId="77777777" w:rsidR="00F97400" w:rsidRPr="00AE36F0" w:rsidRDefault="00F97400" w:rsidP="00F97400">
      <w:pPr>
        <w:jc w:val="both"/>
        <w:rPr>
          <w:rFonts w:ascii="Montserrat" w:hAnsi="Montserrat"/>
          <w:b/>
        </w:rPr>
      </w:pPr>
    </w:p>
    <w:p w14:paraId="574413BD"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El saldo de este rubro representa el valor de los bienes intangibles propiedad del Poder Ejecutivo por concepto de software y licencias por el uso de los derechos.</w:t>
      </w:r>
    </w:p>
    <w:p w14:paraId="69B6167E" w14:textId="77777777" w:rsidR="00F97400" w:rsidRPr="00AE36F0" w:rsidRDefault="00F97400" w:rsidP="00F97400">
      <w:pPr>
        <w:pBdr>
          <w:top w:val="nil"/>
          <w:left w:val="nil"/>
          <w:bottom w:val="nil"/>
          <w:right w:val="nil"/>
          <w:between w:val="nil"/>
        </w:pBdr>
        <w:jc w:val="both"/>
        <w:rPr>
          <w:rFonts w:ascii="Montserrat" w:hAnsi="Montserrat"/>
        </w:rPr>
      </w:pPr>
    </w:p>
    <w:p w14:paraId="0989E201"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El saldo de estos activos se integra al cierre del periodo enero-diciembre de 2025 y 2024, de:</w:t>
      </w:r>
    </w:p>
    <w:p w14:paraId="09AFE801"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t>(Pesos)</w:t>
      </w:r>
    </w:p>
    <w:tbl>
      <w:tblPr>
        <w:tblW w:w="896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9"/>
        <w:gridCol w:w="2241"/>
        <w:gridCol w:w="2223"/>
      </w:tblGrid>
      <w:tr w:rsidR="00F97400" w:rsidRPr="00AE36F0" w14:paraId="4B30F5EC" w14:textId="77777777" w:rsidTr="004B75E1">
        <w:trPr>
          <w:trHeight w:val="309"/>
        </w:trPr>
        <w:tc>
          <w:tcPr>
            <w:tcW w:w="4499" w:type="dxa"/>
            <w:shd w:val="clear" w:color="auto" w:fill="D9D9D9" w:themeFill="background1" w:themeFillShade="D9"/>
            <w:vAlign w:val="center"/>
            <w:hideMark/>
          </w:tcPr>
          <w:p w14:paraId="3C64253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41" w:type="dxa"/>
            <w:shd w:val="clear" w:color="auto" w:fill="D9D9D9" w:themeFill="background1" w:themeFillShade="D9"/>
            <w:vAlign w:val="center"/>
            <w:hideMark/>
          </w:tcPr>
          <w:p w14:paraId="68F460F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3" w:type="dxa"/>
            <w:shd w:val="clear" w:color="auto" w:fill="D9D9D9" w:themeFill="background1" w:themeFillShade="D9"/>
            <w:vAlign w:val="center"/>
            <w:hideMark/>
          </w:tcPr>
          <w:p w14:paraId="023876C4"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7F4AAF03" w14:textId="77777777" w:rsidTr="004B75E1">
        <w:trPr>
          <w:trHeight w:val="280"/>
        </w:trPr>
        <w:tc>
          <w:tcPr>
            <w:tcW w:w="4499" w:type="dxa"/>
            <w:shd w:val="clear" w:color="000000" w:fill="FFFFFF"/>
            <w:noWrap/>
            <w:vAlign w:val="center"/>
            <w:hideMark/>
          </w:tcPr>
          <w:p w14:paraId="30574BD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Software</w:t>
            </w:r>
          </w:p>
        </w:tc>
        <w:tc>
          <w:tcPr>
            <w:tcW w:w="2241" w:type="dxa"/>
            <w:shd w:val="clear" w:color="000000" w:fill="FFFFFF"/>
            <w:vAlign w:val="center"/>
            <w:hideMark/>
          </w:tcPr>
          <w:p w14:paraId="200506D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221,520,501</w:t>
            </w:r>
          </w:p>
        </w:tc>
        <w:tc>
          <w:tcPr>
            <w:tcW w:w="2223" w:type="dxa"/>
            <w:shd w:val="clear" w:color="000000" w:fill="FFFFFF"/>
            <w:vAlign w:val="center"/>
            <w:hideMark/>
          </w:tcPr>
          <w:p w14:paraId="7BE4457C"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218,815,133</w:t>
            </w:r>
          </w:p>
        </w:tc>
      </w:tr>
      <w:tr w:rsidR="00F97400" w:rsidRPr="00AE36F0" w14:paraId="72F580E1" w14:textId="77777777" w:rsidTr="004B75E1">
        <w:trPr>
          <w:trHeight w:val="280"/>
        </w:trPr>
        <w:tc>
          <w:tcPr>
            <w:tcW w:w="4499" w:type="dxa"/>
            <w:shd w:val="clear" w:color="000000" w:fill="FFFFFF"/>
            <w:noWrap/>
            <w:vAlign w:val="center"/>
            <w:hideMark/>
          </w:tcPr>
          <w:p w14:paraId="6F2907CA"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Patentes, Marcas Y Derechos</w:t>
            </w:r>
          </w:p>
        </w:tc>
        <w:tc>
          <w:tcPr>
            <w:tcW w:w="2241" w:type="dxa"/>
            <w:shd w:val="clear" w:color="000000" w:fill="FFFFFF"/>
            <w:vAlign w:val="center"/>
            <w:hideMark/>
          </w:tcPr>
          <w:p w14:paraId="141CBA6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1,424,730</w:t>
            </w:r>
          </w:p>
        </w:tc>
        <w:tc>
          <w:tcPr>
            <w:tcW w:w="2223" w:type="dxa"/>
            <w:shd w:val="clear" w:color="000000" w:fill="FFFFFF"/>
            <w:vAlign w:val="center"/>
            <w:hideMark/>
          </w:tcPr>
          <w:p w14:paraId="2D28028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1,442,309</w:t>
            </w:r>
          </w:p>
        </w:tc>
      </w:tr>
      <w:tr w:rsidR="00F97400" w:rsidRPr="00AE36F0" w14:paraId="58B9C5F8" w14:textId="77777777" w:rsidTr="004B75E1">
        <w:trPr>
          <w:trHeight w:val="294"/>
        </w:trPr>
        <w:tc>
          <w:tcPr>
            <w:tcW w:w="4499" w:type="dxa"/>
            <w:shd w:val="clear" w:color="000000" w:fill="FFFFFF"/>
            <w:noWrap/>
            <w:vAlign w:val="center"/>
            <w:hideMark/>
          </w:tcPr>
          <w:p w14:paraId="4F5E2C6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Licencias</w:t>
            </w:r>
          </w:p>
        </w:tc>
        <w:tc>
          <w:tcPr>
            <w:tcW w:w="2241" w:type="dxa"/>
            <w:shd w:val="clear" w:color="000000" w:fill="FFFFFF"/>
            <w:vAlign w:val="center"/>
            <w:hideMark/>
          </w:tcPr>
          <w:p w14:paraId="6ADA3E36"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82,456,698</w:t>
            </w:r>
          </w:p>
        </w:tc>
        <w:tc>
          <w:tcPr>
            <w:tcW w:w="2223" w:type="dxa"/>
            <w:shd w:val="clear" w:color="000000" w:fill="FFFFFF"/>
            <w:vAlign w:val="center"/>
            <w:hideMark/>
          </w:tcPr>
          <w:p w14:paraId="519192C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89,394,780</w:t>
            </w:r>
          </w:p>
        </w:tc>
      </w:tr>
      <w:tr w:rsidR="00F97400" w:rsidRPr="00AE36F0" w14:paraId="5514DD2C" w14:textId="77777777" w:rsidTr="004B75E1">
        <w:trPr>
          <w:trHeight w:val="309"/>
        </w:trPr>
        <w:tc>
          <w:tcPr>
            <w:tcW w:w="4499" w:type="dxa"/>
            <w:shd w:val="clear" w:color="000000" w:fill="FFFFFF"/>
            <w:noWrap/>
            <w:vAlign w:val="center"/>
            <w:hideMark/>
          </w:tcPr>
          <w:p w14:paraId="69ECB2D4"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w:t>
            </w:r>
            <w:r w:rsidRPr="00AE36F0">
              <w:rPr>
                <w:rFonts w:ascii="Montserrat" w:hAnsi="Montserrat"/>
                <w:b/>
              </w:rPr>
              <w:t>Activos Intangibles</w:t>
            </w:r>
          </w:p>
        </w:tc>
        <w:tc>
          <w:tcPr>
            <w:tcW w:w="2241" w:type="dxa"/>
            <w:shd w:val="clear" w:color="000000" w:fill="FFFFFF"/>
            <w:noWrap/>
            <w:vAlign w:val="center"/>
            <w:hideMark/>
          </w:tcPr>
          <w:p w14:paraId="389552E5"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305,401,929</w:t>
            </w:r>
          </w:p>
        </w:tc>
        <w:tc>
          <w:tcPr>
            <w:tcW w:w="2223" w:type="dxa"/>
            <w:shd w:val="clear" w:color="000000" w:fill="FFFFFF"/>
            <w:noWrap/>
            <w:vAlign w:val="center"/>
            <w:hideMark/>
          </w:tcPr>
          <w:p w14:paraId="5399F9E6"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309,652,222</w:t>
            </w:r>
          </w:p>
        </w:tc>
      </w:tr>
    </w:tbl>
    <w:p w14:paraId="1C75BB0D" w14:textId="77777777" w:rsidR="00F97400" w:rsidRPr="00AE36F0" w:rsidRDefault="00F97400" w:rsidP="00F97400">
      <w:pPr>
        <w:rPr>
          <w:rFonts w:ascii="Montserrat" w:hAnsi="Montserrat"/>
          <w:b/>
        </w:rPr>
      </w:pPr>
    </w:p>
    <w:p w14:paraId="6B95A1EF" w14:textId="77777777" w:rsidR="00F97400" w:rsidRPr="00AE36F0" w:rsidRDefault="00F97400" w:rsidP="00F97400">
      <w:pPr>
        <w:rPr>
          <w:rFonts w:ascii="Montserrat" w:hAnsi="Montserrat"/>
          <w:b/>
        </w:rPr>
      </w:pPr>
      <w:bookmarkStart w:id="15" w:name="_Hlk157391051"/>
    </w:p>
    <w:p w14:paraId="0069630B" w14:textId="77777777" w:rsidR="00F13C24" w:rsidRDefault="00F13C24" w:rsidP="00F97400">
      <w:pPr>
        <w:rPr>
          <w:rFonts w:ascii="Montserrat" w:hAnsi="Montserrat"/>
          <w:b/>
        </w:rPr>
      </w:pPr>
    </w:p>
    <w:p w14:paraId="0C501B6E" w14:textId="77777777" w:rsidR="00F13C24" w:rsidRDefault="00F13C24" w:rsidP="00F97400">
      <w:pPr>
        <w:rPr>
          <w:rFonts w:ascii="Montserrat" w:hAnsi="Montserrat"/>
          <w:b/>
        </w:rPr>
      </w:pPr>
    </w:p>
    <w:p w14:paraId="66724136" w14:textId="660942AF" w:rsidR="00F97400" w:rsidRPr="00AE36F0" w:rsidRDefault="00F97400" w:rsidP="00F97400">
      <w:pPr>
        <w:rPr>
          <w:rFonts w:ascii="Montserrat" w:hAnsi="Montserrat"/>
          <w:b/>
        </w:rPr>
      </w:pPr>
      <w:r w:rsidRPr="00AE36F0">
        <w:rPr>
          <w:rFonts w:ascii="Montserrat" w:hAnsi="Montserrat"/>
          <w:b/>
        </w:rPr>
        <w:lastRenderedPageBreak/>
        <w:t>Nota 10.- Estimaciones y Deterioros</w:t>
      </w:r>
    </w:p>
    <w:p w14:paraId="483CAA54" w14:textId="77777777" w:rsidR="00F97400" w:rsidRPr="00AE36F0" w:rsidRDefault="00F97400" w:rsidP="00F97400">
      <w:pPr>
        <w:rPr>
          <w:rFonts w:ascii="Montserrat" w:hAnsi="Montserrat"/>
          <w:b/>
        </w:rPr>
      </w:pPr>
    </w:p>
    <w:p w14:paraId="5A5F4011"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 xml:space="preserve">El saldo de este rubro representa el valor de depreciación y amortización acumulada de los bienes muebles e intangibles propiedad de </w:t>
      </w:r>
      <w:r w:rsidRPr="00AE36F0">
        <w:rPr>
          <w:rFonts w:ascii="Montserrat" w:hAnsi="Montserrat"/>
        </w:rPr>
        <w:t>las dependencias del Poder Ejecutivo</w:t>
      </w:r>
      <w:r w:rsidRPr="00AE36F0">
        <w:rPr>
          <w:rFonts w:ascii="Montserrat" w:hAnsi="Montserrat"/>
          <w:color w:val="000000"/>
        </w:rPr>
        <w:t>.</w:t>
      </w:r>
    </w:p>
    <w:p w14:paraId="1329A711"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3FFAF751" w14:textId="77777777" w:rsidR="00F97400" w:rsidRPr="00AE36F0" w:rsidRDefault="00F97400" w:rsidP="00F97400">
      <w:pPr>
        <w:tabs>
          <w:tab w:val="left" w:pos="7260"/>
        </w:tabs>
        <w:jc w:val="both"/>
        <w:rPr>
          <w:rFonts w:ascii="Montserrat" w:eastAsia="Times New Roman" w:hAnsi="Montserrat" w:cs="Arial"/>
        </w:rPr>
      </w:pPr>
      <w:r w:rsidRPr="00AE36F0">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19EEA47D" w14:textId="77777777" w:rsidR="00F97400" w:rsidRPr="00AE36F0" w:rsidRDefault="00F97400" w:rsidP="00F97400">
      <w:pPr>
        <w:widowControl w:val="0"/>
        <w:jc w:val="both"/>
        <w:rPr>
          <w:rFonts w:ascii="Montserrat" w:hAnsi="Montserrat"/>
        </w:rPr>
      </w:pPr>
    </w:p>
    <w:p w14:paraId="7328FC84"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Los saldos de la cuenta de este rubro Al 31 de diciembre de 2025 y 2024, asciende a:</w:t>
      </w:r>
    </w:p>
    <w:p w14:paraId="066C3B22"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01253F7A" w14:textId="77777777" w:rsidR="00F97400" w:rsidRPr="00AE36F0" w:rsidRDefault="00F97400" w:rsidP="00F97400">
      <w:pPr>
        <w:pBdr>
          <w:top w:val="nil"/>
          <w:left w:val="nil"/>
          <w:bottom w:val="nil"/>
          <w:right w:val="nil"/>
          <w:between w:val="nil"/>
        </w:pBdr>
        <w:jc w:val="center"/>
        <w:rPr>
          <w:rFonts w:ascii="Montserrat" w:hAnsi="Montserrat"/>
          <w:b/>
          <w:color w:val="000000"/>
        </w:rPr>
      </w:pPr>
      <w:r w:rsidRPr="00AE36F0">
        <w:rPr>
          <w:rFonts w:ascii="Montserrat" w:hAnsi="Montserrat"/>
          <w:b/>
          <w:color w:val="000000"/>
        </w:rPr>
        <w:t>(Pesos)</w:t>
      </w:r>
    </w:p>
    <w:tbl>
      <w:tblPr>
        <w:tblW w:w="9084" w:type="dxa"/>
        <w:tblInd w:w="55" w:type="dxa"/>
        <w:tblCellMar>
          <w:left w:w="70" w:type="dxa"/>
          <w:right w:w="70" w:type="dxa"/>
        </w:tblCellMar>
        <w:tblLook w:val="04A0" w:firstRow="1" w:lastRow="0" w:firstColumn="1" w:lastColumn="0" w:noHBand="0" w:noVBand="1"/>
      </w:tblPr>
      <w:tblGrid>
        <w:gridCol w:w="4560"/>
        <w:gridCol w:w="2271"/>
        <w:gridCol w:w="2253"/>
      </w:tblGrid>
      <w:tr w:rsidR="00F97400" w:rsidRPr="00AE36F0" w14:paraId="4B9206D7" w14:textId="77777777" w:rsidTr="004B75E1">
        <w:trPr>
          <w:trHeight w:val="313"/>
        </w:trPr>
        <w:tc>
          <w:tcPr>
            <w:tcW w:w="45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0D00E0AC"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7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75B7E68C"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53"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B1479D1"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02ECD50C" w14:textId="77777777" w:rsidTr="004B75E1">
        <w:trPr>
          <w:trHeight w:val="642"/>
        </w:trPr>
        <w:tc>
          <w:tcPr>
            <w:tcW w:w="4560" w:type="dxa"/>
            <w:tcBorders>
              <w:top w:val="nil"/>
              <w:left w:val="single" w:sz="8" w:space="0" w:color="000000"/>
              <w:bottom w:val="single" w:sz="8" w:space="0" w:color="auto"/>
              <w:right w:val="single" w:sz="8" w:space="0" w:color="000000"/>
            </w:tcBorders>
            <w:shd w:val="clear" w:color="000000" w:fill="FFFFFF"/>
            <w:vAlign w:val="center"/>
            <w:hideMark/>
          </w:tcPr>
          <w:p w14:paraId="3C1D3D9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Depreciación, Deterioro y Amortización Acumulada de Bienes</w:t>
            </w:r>
          </w:p>
        </w:tc>
        <w:tc>
          <w:tcPr>
            <w:tcW w:w="2271" w:type="dxa"/>
            <w:tcBorders>
              <w:top w:val="nil"/>
              <w:left w:val="nil"/>
              <w:bottom w:val="single" w:sz="8" w:space="0" w:color="auto"/>
              <w:right w:val="single" w:sz="8" w:space="0" w:color="000000"/>
            </w:tcBorders>
            <w:shd w:val="clear" w:color="000000" w:fill="FFFFFF"/>
            <w:vAlign w:val="center"/>
            <w:hideMark/>
          </w:tcPr>
          <w:p w14:paraId="48D1DC9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rPr>
              <w:t>-2,085,744,872</w:t>
            </w:r>
          </w:p>
        </w:tc>
        <w:tc>
          <w:tcPr>
            <w:tcW w:w="2253" w:type="dxa"/>
            <w:tcBorders>
              <w:top w:val="nil"/>
              <w:left w:val="nil"/>
              <w:bottom w:val="single" w:sz="8" w:space="0" w:color="auto"/>
              <w:right w:val="single" w:sz="8" w:space="0" w:color="000000"/>
            </w:tcBorders>
            <w:shd w:val="clear" w:color="000000" w:fill="FFFFFF"/>
            <w:vAlign w:val="center"/>
            <w:hideMark/>
          </w:tcPr>
          <w:p w14:paraId="36089946"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rPr>
              <w:t>-1,846,149,921</w:t>
            </w:r>
          </w:p>
        </w:tc>
      </w:tr>
      <w:tr w:rsidR="00F97400" w:rsidRPr="00AE36F0" w14:paraId="769EA1EF" w14:textId="77777777" w:rsidTr="004B75E1">
        <w:trPr>
          <w:trHeight w:val="328"/>
        </w:trPr>
        <w:tc>
          <w:tcPr>
            <w:tcW w:w="4560" w:type="dxa"/>
            <w:tcBorders>
              <w:top w:val="nil"/>
              <w:left w:val="single" w:sz="8" w:space="0" w:color="000000"/>
              <w:bottom w:val="single" w:sz="8" w:space="0" w:color="000000"/>
              <w:right w:val="single" w:sz="8" w:space="0" w:color="000000"/>
            </w:tcBorders>
            <w:shd w:val="clear" w:color="000000" w:fill="FFFFFF"/>
            <w:vAlign w:val="center"/>
            <w:hideMark/>
          </w:tcPr>
          <w:p w14:paraId="52B5CCD4" w14:textId="77777777" w:rsidR="00F97400" w:rsidRPr="00AE36F0" w:rsidRDefault="00F97400" w:rsidP="004B75E1">
            <w:pPr>
              <w:rPr>
                <w:rFonts w:ascii="Montserrat" w:eastAsia="Times New Roman" w:hAnsi="Montserrat" w:cs="Times New Roman"/>
                <w:b/>
                <w:bCs/>
                <w:color w:val="000000"/>
                <w:lang w:val="es-MX"/>
              </w:rPr>
            </w:pPr>
            <w:proofErr w:type="gramStart"/>
            <w:r w:rsidRPr="00AE36F0">
              <w:rPr>
                <w:rFonts w:ascii="Montserrat" w:eastAsia="Times New Roman" w:hAnsi="Montserrat" w:cs="Times New Roman"/>
                <w:b/>
                <w:bCs/>
                <w:color w:val="000000"/>
                <w:lang w:val="es-MX"/>
              </w:rPr>
              <w:t>Total</w:t>
            </w:r>
            <w:proofErr w:type="gramEnd"/>
            <w:r w:rsidRPr="00AE36F0">
              <w:rPr>
                <w:rFonts w:ascii="Montserrat" w:eastAsia="Times New Roman" w:hAnsi="Montserrat" w:cs="Times New Roman"/>
                <w:b/>
                <w:bCs/>
                <w:color w:val="000000"/>
                <w:lang w:val="es-MX"/>
              </w:rPr>
              <w:t xml:space="preserve"> Depreciación, Deterioro y Amortización Acumulada de Bienes </w:t>
            </w:r>
          </w:p>
        </w:tc>
        <w:tc>
          <w:tcPr>
            <w:tcW w:w="2271" w:type="dxa"/>
            <w:tcBorders>
              <w:top w:val="nil"/>
              <w:left w:val="nil"/>
              <w:bottom w:val="single" w:sz="8" w:space="0" w:color="000000"/>
              <w:right w:val="single" w:sz="8" w:space="0" w:color="000000"/>
            </w:tcBorders>
            <w:shd w:val="clear" w:color="000000" w:fill="FFFFFF"/>
            <w:vAlign w:val="center"/>
            <w:hideMark/>
          </w:tcPr>
          <w:p w14:paraId="237FC5F3"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rPr>
              <w:t>-2,085,744,872</w:t>
            </w:r>
          </w:p>
        </w:tc>
        <w:tc>
          <w:tcPr>
            <w:tcW w:w="2253" w:type="dxa"/>
            <w:tcBorders>
              <w:top w:val="nil"/>
              <w:left w:val="nil"/>
              <w:bottom w:val="single" w:sz="8" w:space="0" w:color="000000"/>
              <w:right w:val="single" w:sz="8" w:space="0" w:color="000000"/>
            </w:tcBorders>
            <w:shd w:val="clear" w:color="000000" w:fill="FFFFFF"/>
            <w:vAlign w:val="center"/>
            <w:hideMark/>
          </w:tcPr>
          <w:p w14:paraId="77D9B91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rPr>
              <w:t>-1,846,149,921</w:t>
            </w:r>
          </w:p>
        </w:tc>
      </w:tr>
    </w:tbl>
    <w:p w14:paraId="3EB75452" w14:textId="77777777" w:rsidR="00F97400" w:rsidRPr="00AE36F0" w:rsidRDefault="00F97400" w:rsidP="00F97400">
      <w:pPr>
        <w:rPr>
          <w:rFonts w:ascii="Montserrat" w:hAnsi="Montserrat"/>
          <w:b/>
        </w:rPr>
      </w:pPr>
    </w:p>
    <w:p w14:paraId="1A2AA96E" w14:textId="77777777" w:rsidR="00F97400" w:rsidRPr="00AE36F0" w:rsidRDefault="00F97400" w:rsidP="00F97400">
      <w:pPr>
        <w:rPr>
          <w:rFonts w:ascii="Montserrat" w:hAnsi="Montserrat"/>
          <w:b/>
        </w:rPr>
      </w:pPr>
      <w:r w:rsidRPr="00AE36F0">
        <w:rPr>
          <w:rFonts w:ascii="Montserrat" w:hAnsi="Montserrat"/>
          <w:b/>
        </w:rPr>
        <w:t xml:space="preserve">Nota 11.- Otros Activos </w:t>
      </w:r>
    </w:p>
    <w:p w14:paraId="71B29A0E" w14:textId="77777777" w:rsidR="00F97400" w:rsidRPr="00AE36F0" w:rsidRDefault="00F97400" w:rsidP="00F97400">
      <w:pPr>
        <w:rPr>
          <w:rFonts w:ascii="Montserrat" w:hAnsi="Montserrat"/>
        </w:rPr>
      </w:pPr>
    </w:p>
    <w:p w14:paraId="6BCCF4A8" w14:textId="77777777" w:rsidR="00F97400" w:rsidRPr="00AE36F0" w:rsidRDefault="00F97400" w:rsidP="00F97400">
      <w:pPr>
        <w:rPr>
          <w:rFonts w:ascii="Montserrat" w:hAnsi="Montserrat"/>
        </w:rPr>
      </w:pPr>
      <w:r w:rsidRPr="00AE36F0">
        <w:rPr>
          <w:rFonts w:ascii="Montserrat" w:hAnsi="Montserrat"/>
        </w:rPr>
        <w:t>Este rubro no refleja saldo en el cuarto informe trimestral del ejercicio 2025 y 2024.</w:t>
      </w:r>
    </w:p>
    <w:bookmarkEnd w:id="15"/>
    <w:p w14:paraId="3E4397D3" w14:textId="77777777" w:rsidR="00F13C24" w:rsidRDefault="00F13C24" w:rsidP="00F97400">
      <w:pPr>
        <w:keepNext/>
        <w:keepLines/>
        <w:rPr>
          <w:rFonts w:ascii="Montserrat" w:hAnsi="Montserrat"/>
          <w:b/>
        </w:rPr>
      </w:pPr>
    </w:p>
    <w:p w14:paraId="225000F1" w14:textId="78390361" w:rsidR="00F97400" w:rsidRPr="00AE36F0" w:rsidRDefault="00F97400" w:rsidP="00F97400">
      <w:pPr>
        <w:keepNext/>
        <w:keepLines/>
        <w:rPr>
          <w:rFonts w:ascii="Montserrat" w:hAnsi="Montserrat"/>
          <w:b/>
        </w:rPr>
      </w:pPr>
      <w:r w:rsidRPr="00AE36F0">
        <w:rPr>
          <w:rFonts w:ascii="Montserrat" w:hAnsi="Montserrat"/>
          <w:b/>
        </w:rPr>
        <w:t xml:space="preserve">Pasivo </w:t>
      </w:r>
    </w:p>
    <w:p w14:paraId="7240F092" w14:textId="77777777" w:rsidR="00F97400" w:rsidRPr="00AE36F0" w:rsidRDefault="00F97400" w:rsidP="00F97400">
      <w:pPr>
        <w:jc w:val="both"/>
        <w:rPr>
          <w:rFonts w:ascii="Montserrat" w:hAnsi="Montserrat"/>
        </w:rPr>
      </w:pPr>
    </w:p>
    <w:p w14:paraId="4059F4C5" w14:textId="77777777" w:rsidR="00F97400" w:rsidRPr="00AE36F0" w:rsidRDefault="00F97400" w:rsidP="00F97400">
      <w:pPr>
        <w:jc w:val="both"/>
        <w:rPr>
          <w:rFonts w:ascii="Montserrat" w:hAnsi="Montserrat"/>
        </w:rPr>
      </w:pPr>
      <w:r w:rsidRPr="00AE36F0">
        <w:rPr>
          <w:rFonts w:ascii="Montserrat" w:hAnsi="Montserrat"/>
        </w:rPr>
        <w:t>Es el conjunto de cuentas que permite el registro de las obligaciones contraídas por el Poder Ejecutivo, para el desarrollo de sus funciones y la prestación de los servicios públicos. Al cierre del periodo enero-diciembre de 2025,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560FFA6A" w14:textId="77777777" w:rsidR="00F97400" w:rsidRPr="00AE36F0" w:rsidRDefault="00F97400" w:rsidP="00F97400">
      <w:pPr>
        <w:rPr>
          <w:rFonts w:ascii="Montserrat" w:hAnsi="Montserrat"/>
          <w:b/>
        </w:rPr>
      </w:pPr>
    </w:p>
    <w:p w14:paraId="3E068DF9" w14:textId="77777777" w:rsidR="00F97400" w:rsidRPr="00AE36F0" w:rsidRDefault="00F97400" w:rsidP="00F97400">
      <w:pPr>
        <w:keepNext/>
        <w:rPr>
          <w:rFonts w:ascii="Montserrat" w:hAnsi="Montserrat"/>
          <w:b/>
        </w:rPr>
      </w:pPr>
      <w:bookmarkStart w:id="16" w:name="_Hlk157391221"/>
    </w:p>
    <w:p w14:paraId="1C815EA7" w14:textId="77777777" w:rsidR="00F97400" w:rsidRPr="00AE36F0" w:rsidRDefault="00F97400" w:rsidP="00F97400">
      <w:pPr>
        <w:keepNext/>
        <w:rPr>
          <w:rFonts w:ascii="Montserrat" w:hAnsi="Montserrat"/>
          <w:b/>
        </w:rPr>
      </w:pPr>
      <w:r w:rsidRPr="00AE36F0">
        <w:rPr>
          <w:rFonts w:ascii="Montserrat" w:hAnsi="Montserrat"/>
          <w:b/>
        </w:rPr>
        <w:t>Nota 12.-Cuentas por Pagar a Corto Plazo.</w:t>
      </w:r>
      <w:bookmarkEnd w:id="16"/>
    </w:p>
    <w:p w14:paraId="2A18F44D" w14:textId="77777777" w:rsidR="00F97400" w:rsidRPr="00AE36F0" w:rsidRDefault="00F97400" w:rsidP="00F97400">
      <w:pPr>
        <w:keepNext/>
        <w:rPr>
          <w:rFonts w:ascii="Montserrat" w:hAnsi="Montserrat"/>
          <w:b/>
        </w:rPr>
      </w:pPr>
    </w:p>
    <w:p w14:paraId="1A60FA54"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15701F84" w14:textId="77777777" w:rsidR="00F97400" w:rsidRPr="00AE36F0" w:rsidRDefault="00F97400" w:rsidP="00F97400">
      <w:pPr>
        <w:pBdr>
          <w:top w:val="nil"/>
          <w:left w:val="nil"/>
          <w:bottom w:val="nil"/>
          <w:right w:val="nil"/>
          <w:between w:val="nil"/>
        </w:pBdr>
        <w:jc w:val="both"/>
        <w:rPr>
          <w:rFonts w:ascii="Montserrat" w:hAnsi="Montserrat"/>
        </w:rPr>
      </w:pPr>
    </w:p>
    <w:p w14:paraId="0975CADF"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Los saldos de las cuentas que integran este rubro al cierre del periodo enero-diciembre de 2025 y 2024, se desglosan de la siguiente manera:</w:t>
      </w:r>
    </w:p>
    <w:p w14:paraId="06F47E2B" w14:textId="77777777" w:rsidR="00F97400" w:rsidRPr="00AE36F0" w:rsidRDefault="00F97400" w:rsidP="00F97400">
      <w:pPr>
        <w:rPr>
          <w:rFonts w:ascii="Montserrat" w:hAnsi="Montserrat"/>
        </w:rPr>
      </w:pPr>
    </w:p>
    <w:p w14:paraId="6C98F117" w14:textId="77777777" w:rsidR="00F97400" w:rsidRPr="00AE36F0" w:rsidRDefault="00F97400" w:rsidP="00F97400">
      <w:pPr>
        <w:pBdr>
          <w:top w:val="nil"/>
          <w:left w:val="nil"/>
          <w:bottom w:val="nil"/>
          <w:right w:val="nil"/>
          <w:between w:val="nil"/>
        </w:pBdr>
        <w:jc w:val="center"/>
        <w:rPr>
          <w:rFonts w:ascii="Montserrat" w:hAnsi="Montserrat"/>
        </w:rPr>
      </w:pPr>
      <w:r w:rsidRPr="00AE36F0">
        <w:rPr>
          <w:rFonts w:ascii="Montserrat" w:hAnsi="Montserrat"/>
          <w:b/>
        </w:rPr>
        <w:t>(Pesos)</w:t>
      </w:r>
    </w:p>
    <w:tbl>
      <w:tblPr>
        <w:tblW w:w="9042"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9"/>
        <w:gridCol w:w="2260"/>
        <w:gridCol w:w="2243"/>
      </w:tblGrid>
      <w:tr w:rsidR="00F97400" w:rsidRPr="00AE36F0" w14:paraId="06336E6A" w14:textId="77777777" w:rsidTr="004B75E1">
        <w:trPr>
          <w:trHeight w:val="315"/>
        </w:trPr>
        <w:tc>
          <w:tcPr>
            <w:tcW w:w="4539" w:type="dxa"/>
            <w:shd w:val="clear" w:color="auto" w:fill="D9D9D9" w:themeFill="background1" w:themeFillShade="D9"/>
            <w:vAlign w:val="center"/>
            <w:hideMark/>
          </w:tcPr>
          <w:p w14:paraId="4265E56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60" w:type="dxa"/>
            <w:shd w:val="clear" w:color="auto" w:fill="D9D9D9" w:themeFill="background1" w:themeFillShade="D9"/>
            <w:vAlign w:val="center"/>
            <w:hideMark/>
          </w:tcPr>
          <w:p w14:paraId="5A1EAFE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43" w:type="dxa"/>
            <w:shd w:val="clear" w:color="auto" w:fill="D9D9D9" w:themeFill="background1" w:themeFillShade="D9"/>
            <w:vAlign w:val="center"/>
            <w:hideMark/>
          </w:tcPr>
          <w:p w14:paraId="664F2B0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678E728" w14:textId="77777777" w:rsidTr="004B75E1">
        <w:trPr>
          <w:trHeight w:val="285"/>
        </w:trPr>
        <w:tc>
          <w:tcPr>
            <w:tcW w:w="4539" w:type="dxa"/>
            <w:shd w:val="clear" w:color="000000" w:fill="FFFFFF"/>
            <w:noWrap/>
            <w:vAlign w:val="center"/>
            <w:hideMark/>
          </w:tcPr>
          <w:p w14:paraId="7E1F8011"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Servicios Personales Por Pagar a Corto Plazo</w:t>
            </w:r>
          </w:p>
        </w:tc>
        <w:tc>
          <w:tcPr>
            <w:tcW w:w="2260" w:type="dxa"/>
            <w:shd w:val="clear" w:color="000000" w:fill="FFFFFF"/>
            <w:noWrap/>
            <w:vAlign w:val="center"/>
            <w:hideMark/>
          </w:tcPr>
          <w:p w14:paraId="198108C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86,198,381</w:t>
            </w:r>
          </w:p>
        </w:tc>
        <w:tc>
          <w:tcPr>
            <w:tcW w:w="2243" w:type="dxa"/>
            <w:shd w:val="clear" w:color="000000" w:fill="FFFFFF"/>
            <w:noWrap/>
            <w:vAlign w:val="center"/>
            <w:hideMark/>
          </w:tcPr>
          <w:p w14:paraId="063ABD3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33,770,305</w:t>
            </w:r>
          </w:p>
        </w:tc>
      </w:tr>
      <w:tr w:rsidR="00F97400" w:rsidRPr="00AE36F0" w14:paraId="72634948" w14:textId="77777777" w:rsidTr="004B75E1">
        <w:trPr>
          <w:trHeight w:val="285"/>
        </w:trPr>
        <w:tc>
          <w:tcPr>
            <w:tcW w:w="4539" w:type="dxa"/>
            <w:shd w:val="clear" w:color="000000" w:fill="FFFFFF"/>
            <w:noWrap/>
            <w:vAlign w:val="center"/>
            <w:hideMark/>
          </w:tcPr>
          <w:p w14:paraId="3748A1A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Proveedores Por Pagar a Corto Plazo</w:t>
            </w:r>
          </w:p>
        </w:tc>
        <w:tc>
          <w:tcPr>
            <w:tcW w:w="2260" w:type="dxa"/>
            <w:shd w:val="clear" w:color="000000" w:fill="FFFFFF"/>
            <w:noWrap/>
            <w:vAlign w:val="center"/>
            <w:hideMark/>
          </w:tcPr>
          <w:p w14:paraId="786E5F6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381,956,935</w:t>
            </w:r>
          </w:p>
        </w:tc>
        <w:tc>
          <w:tcPr>
            <w:tcW w:w="2243" w:type="dxa"/>
            <w:shd w:val="clear" w:color="000000" w:fill="FFFFFF"/>
            <w:noWrap/>
            <w:vAlign w:val="center"/>
            <w:hideMark/>
          </w:tcPr>
          <w:p w14:paraId="3D4DF2A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279,027,424</w:t>
            </w:r>
          </w:p>
        </w:tc>
      </w:tr>
      <w:tr w:rsidR="00F97400" w:rsidRPr="00AE36F0" w14:paraId="2F5238F4" w14:textId="77777777" w:rsidTr="004B75E1">
        <w:trPr>
          <w:trHeight w:val="570"/>
        </w:trPr>
        <w:tc>
          <w:tcPr>
            <w:tcW w:w="4539" w:type="dxa"/>
            <w:shd w:val="clear" w:color="000000" w:fill="FFFFFF"/>
            <w:vAlign w:val="center"/>
            <w:hideMark/>
          </w:tcPr>
          <w:p w14:paraId="65FF5414"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Contratistas Por Obras Públicas Por Pagar a Corto Plazo</w:t>
            </w:r>
          </w:p>
        </w:tc>
        <w:tc>
          <w:tcPr>
            <w:tcW w:w="2260" w:type="dxa"/>
            <w:shd w:val="clear" w:color="000000" w:fill="FFFFFF"/>
            <w:vAlign w:val="center"/>
            <w:hideMark/>
          </w:tcPr>
          <w:p w14:paraId="0F49661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306,839,525</w:t>
            </w:r>
          </w:p>
        </w:tc>
        <w:tc>
          <w:tcPr>
            <w:tcW w:w="2243" w:type="dxa"/>
            <w:shd w:val="clear" w:color="000000" w:fill="FFFFFF"/>
            <w:vAlign w:val="center"/>
            <w:hideMark/>
          </w:tcPr>
          <w:p w14:paraId="0DDE96F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169,251,350</w:t>
            </w:r>
          </w:p>
        </w:tc>
      </w:tr>
      <w:tr w:rsidR="00F97400" w:rsidRPr="00AE36F0" w14:paraId="5A6430CD" w14:textId="77777777" w:rsidTr="004B75E1">
        <w:trPr>
          <w:trHeight w:val="570"/>
        </w:trPr>
        <w:tc>
          <w:tcPr>
            <w:tcW w:w="4539" w:type="dxa"/>
            <w:shd w:val="clear" w:color="000000" w:fill="FFFFFF"/>
            <w:vAlign w:val="center"/>
            <w:hideMark/>
          </w:tcPr>
          <w:p w14:paraId="005FBD7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Transferencias Otorgadas Por Pagar a Corto Plazo</w:t>
            </w:r>
          </w:p>
        </w:tc>
        <w:tc>
          <w:tcPr>
            <w:tcW w:w="2260" w:type="dxa"/>
            <w:shd w:val="clear" w:color="000000" w:fill="FFFFFF"/>
            <w:noWrap/>
            <w:vAlign w:val="center"/>
            <w:hideMark/>
          </w:tcPr>
          <w:p w14:paraId="73F42304"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15,783,550</w:t>
            </w:r>
          </w:p>
        </w:tc>
        <w:tc>
          <w:tcPr>
            <w:tcW w:w="2243" w:type="dxa"/>
            <w:shd w:val="clear" w:color="000000" w:fill="FFFFFF"/>
            <w:noWrap/>
            <w:vAlign w:val="center"/>
            <w:hideMark/>
          </w:tcPr>
          <w:p w14:paraId="77F057C6"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7,146,777</w:t>
            </w:r>
          </w:p>
        </w:tc>
      </w:tr>
      <w:tr w:rsidR="00F97400" w:rsidRPr="00AE36F0" w14:paraId="3622ABB3" w14:textId="77777777" w:rsidTr="004B75E1">
        <w:trPr>
          <w:trHeight w:val="570"/>
        </w:trPr>
        <w:tc>
          <w:tcPr>
            <w:tcW w:w="4539" w:type="dxa"/>
            <w:shd w:val="clear" w:color="000000" w:fill="FFFFFF"/>
            <w:vAlign w:val="center"/>
          </w:tcPr>
          <w:p w14:paraId="50B11BA3" w14:textId="372C4435"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lastRenderedPageBreak/>
              <w:t xml:space="preserve">Intereses, Comisiones y Otros Gastos de la Deuda </w:t>
            </w:r>
            <w:r w:rsidR="00EA5919" w:rsidRPr="00AE36F0">
              <w:rPr>
                <w:rFonts w:ascii="Montserrat" w:hAnsi="Montserrat" w:cs="Arial"/>
                <w:color w:val="000000"/>
                <w:sz w:val="22"/>
                <w:szCs w:val="22"/>
              </w:rPr>
              <w:t>Pública</w:t>
            </w:r>
            <w:r w:rsidRPr="00AE36F0">
              <w:rPr>
                <w:rFonts w:ascii="Montserrat" w:hAnsi="Montserrat" w:cs="Arial"/>
                <w:color w:val="000000"/>
                <w:sz w:val="22"/>
                <w:szCs w:val="22"/>
              </w:rPr>
              <w:t xml:space="preserve"> Por Pagar a Corto Plazo</w:t>
            </w:r>
          </w:p>
        </w:tc>
        <w:tc>
          <w:tcPr>
            <w:tcW w:w="2260" w:type="dxa"/>
            <w:shd w:val="clear" w:color="000000" w:fill="FFFFFF"/>
            <w:noWrap/>
            <w:vAlign w:val="center"/>
          </w:tcPr>
          <w:p w14:paraId="357E1D06" w14:textId="77777777" w:rsidR="00F97400" w:rsidRPr="00AE36F0" w:rsidRDefault="00F97400" w:rsidP="004B75E1">
            <w:pPr>
              <w:jc w:val="right"/>
              <w:rPr>
                <w:rFonts w:ascii="Montserrat" w:hAnsi="Montserrat" w:cs="Arial"/>
                <w:color w:val="000000"/>
                <w:sz w:val="22"/>
                <w:szCs w:val="22"/>
              </w:rPr>
            </w:pPr>
            <w:r w:rsidRPr="00AE36F0">
              <w:rPr>
                <w:rFonts w:ascii="Montserrat" w:hAnsi="Montserrat" w:cs="Arial"/>
                <w:color w:val="000000"/>
                <w:sz w:val="22"/>
                <w:szCs w:val="22"/>
              </w:rPr>
              <w:t>18,568,997</w:t>
            </w:r>
          </w:p>
        </w:tc>
        <w:tc>
          <w:tcPr>
            <w:tcW w:w="2243" w:type="dxa"/>
            <w:shd w:val="clear" w:color="000000" w:fill="FFFFFF"/>
            <w:noWrap/>
            <w:vAlign w:val="center"/>
          </w:tcPr>
          <w:p w14:paraId="422C3CBB" w14:textId="77777777" w:rsidR="00F97400" w:rsidRPr="00AE36F0" w:rsidRDefault="00F97400" w:rsidP="004B75E1">
            <w:pPr>
              <w:jc w:val="right"/>
              <w:rPr>
                <w:rFonts w:ascii="Montserrat" w:hAnsi="Montserrat" w:cs="Arial"/>
                <w:color w:val="000000"/>
                <w:sz w:val="22"/>
                <w:szCs w:val="22"/>
              </w:rPr>
            </w:pPr>
            <w:r w:rsidRPr="00AE36F0">
              <w:rPr>
                <w:rFonts w:ascii="Montserrat" w:hAnsi="Montserrat" w:cs="Arial"/>
                <w:color w:val="000000"/>
                <w:sz w:val="22"/>
                <w:szCs w:val="22"/>
              </w:rPr>
              <w:t>33,965,111</w:t>
            </w:r>
          </w:p>
        </w:tc>
      </w:tr>
      <w:tr w:rsidR="00F97400" w:rsidRPr="00AE36F0" w14:paraId="2ADE5DFB" w14:textId="77777777" w:rsidTr="004B75E1">
        <w:trPr>
          <w:trHeight w:val="570"/>
        </w:trPr>
        <w:tc>
          <w:tcPr>
            <w:tcW w:w="4539" w:type="dxa"/>
            <w:shd w:val="clear" w:color="000000" w:fill="FFFFFF"/>
            <w:vAlign w:val="center"/>
            <w:hideMark/>
          </w:tcPr>
          <w:p w14:paraId="6B21BCBB"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Retenciones y Contribuciones Por Pagar a Corto Plazo</w:t>
            </w:r>
          </w:p>
        </w:tc>
        <w:tc>
          <w:tcPr>
            <w:tcW w:w="2260" w:type="dxa"/>
            <w:shd w:val="clear" w:color="000000" w:fill="FFFFFF"/>
            <w:noWrap/>
            <w:vAlign w:val="center"/>
            <w:hideMark/>
          </w:tcPr>
          <w:p w14:paraId="08522F7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759,893,059</w:t>
            </w:r>
          </w:p>
        </w:tc>
        <w:tc>
          <w:tcPr>
            <w:tcW w:w="2243" w:type="dxa"/>
            <w:shd w:val="clear" w:color="000000" w:fill="FFFFFF"/>
            <w:noWrap/>
            <w:vAlign w:val="center"/>
            <w:hideMark/>
          </w:tcPr>
          <w:p w14:paraId="53F2F643"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769,182,324</w:t>
            </w:r>
          </w:p>
        </w:tc>
      </w:tr>
      <w:tr w:rsidR="00F97400" w:rsidRPr="00AE36F0" w14:paraId="5440F626" w14:textId="77777777" w:rsidTr="004B75E1">
        <w:trPr>
          <w:trHeight w:val="300"/>
        </w:trPr>
        <w:tc>
          <w:tcPr>
            <w:tcW w:w="4539" w:type="dxa"/>
            <w:shd w:val="clear" w:color="000000" w:fill="FFFFFF"/>
            <w:vAlign w:val="center"/>
            <w:hideMark/>
          </w:tcPr>
          <w:p w14:paraId="2FC82067"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hAnsi="Montserrat" w:cs="Arial"/>
                <w:color w:val="000000"/>
                <w:sz w:val="22"/>
                <w:szCs w:val="22"/>
              </w:rPr>
              <w:t>Otras Cuentas Por Pagar a Corto Plazo</w:t>
            </w:r>
          </w:p>
        </w:tc>
        <w:tc>
          <w:tcPr>
            <w:tcW w:w="2260" w:type="dxa"/>
            <w:shd w:val="clear" w:color="000000" w:fill="FFFFFF"/>
            <w:noWrap/>
            <w:vAlign w:val="center"/>
            <w:hideMark/>
          </w:tcPr>
          <w:p w14:paraId="2B8FEE6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2,917,721,664</w:t>
            </w:r>
          </w:p>
        </w:tc>
        <w:tc>
          <w:tcPr>
            <w:tcW w:w="2243" w:type="dxa"/>
            <w:shd w:val="clear" w:color="000000" w:fill="FFFFFF"/>
            <w:noWrap/>
            <w:vAlign w:val="center"/>
            <w:hideMark/>
          </w:tcPr>
          <w:p w14:paraId="4BBAB1B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2,861,236,767</w:t>
            </w:r>
          </w:p>
        </w:tc>
      </w:tr>
      <w:tr w:rsidR="00F97400" w:rsidRPr="00AE36F0" w14:paraId="4E483A59" w14:textId="77777777" w:rsidTr="004B75E1">
        <w:trPr>
          <w:trHeight w:val="315"/>
        </w:trPr>
        <w:tc>
          <w:tcPr>
            <w:tcW w:w="4539" w:type="dxa"/>
            <w:shd w:val="clear" w:color="000000" w:fill="FFFFFF"/>
            <w:noWrap/>
            <w:vAlign w:val="center"/>
            <w:hideMark/>
          </w:tcPr>
          <w:p w14:paraId="5B2FF7E1"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Cuentas Por Pagar a Corto Plazo</w:t>
            </w:r>
          </w:p>
        </w:tc>
        <w:tc>
          <w:tcPr>
            <w:tcW w:w="2260" w:type="dxa"/>
            <w:shd w:val="clear" w:color="000000" w:fill="FFFFFF"/>
            <w:noWrap/>
            <w:vAlign w:val="center"/>
            <w:hideMark/>
          </w:tcPr>
          <w:p w14:paraId="5A45580A"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4,486,962,111</w:t>
            </w:r>
          </w:p>
        </w:tc>
        <w:tc>
          <w:tcPr>
            <w:tcW w:w="2243" w:type="dxa"/>
            <w:shd w:val="clear" w:color="000000" w:fill="FFFFFF"/>
            <w:noWrap/>
            <w:vAlign w:val="center"/>
            <w:hideMark/>
          </w:tcPr>
          <w:p w14:paraId="314F67A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4,153,580,057</w:t>
            </w:r>
          </w:p>
        </w:tc>
      </w:tr>
    </w:tbl>
    <w:p w14:paraId="43F34984" w14:textId="77777777" w:rsidR="00F97400" w:rsidRPr="00AE36F0" w:rsidRDefault="00F97400" w:rsidP="00F97400">
      <w:pPr>
        <w:jc w:val="both"/>
        <w:rPr>
          <w:rFonts w:ascii="Montserrat" w:hAnsi="Montserrat"/>
          <w:b/>
        </w:rPr>
      </w:pPr>
    </w:p>
    <w:p w14:paraId="675816FB" w14:textId="77777777" w:rsidR="00F97400" w:rsidRPr="00AE36F0" w:rsidRDefault="00F97400" w:rsidP="00F97400">
      <w:pPr>
        <w:jc w:val="both"/>
        <w:rPr>
          <w:rFonts w:ascii="Montserrat" w:hAnsi="Montserrat"/>
          <w:b/>
        </w:rPr>
      </w:pPr>
    </w:p>
    <w:p w14:paraId="397686B5" w14:textId="77777777" w:rsidR="00F97400" w:rsidRPr="00AE36F0" w:rsidRDefault="00F97400" w:rsidP="00F97400">
      <w:pPr>
        <w:jc w:val="both"/>
        <w:rPr>
          <w:rFonts w:ascii="Montserrat" w:hAnsi="Montserrat"/>
        </w:rPr>
      </w:pPr>
      <w:r w:rsidRPr="00AE36F0">
        <w:rPr>
          <w:rFonts w:ascii="Montserrat" w:hAnsi="Montserrat"/>
          <w:b/>
        </w:rPr>
        <w:t>Nota 13.- Porción a Corto Plazo de la Deuda Pública a Largo Plazo.</w:t>
      </w:r>
    </w:p>
    <w:p w14:paraId="131A9A55" w14:textId="77777777" w:rsidR="00F97400" w:rsidRPr="00AE36F0" w:rsidRDefault="00F97400" w:rsidP="00F97400">
      <w:pPr>
        <w:jc w:val="both"/>
        <w:rPr>
          <w:rFonts w:ascii="Montserrat" w:hAnsi="Montserrat"/>
        </w:rPr>
      </w:pPr>
    </w:p>
    <w:p w14:paraId="7E9F7AC7" w14:textId="77777777" w:rsidR="00F97400" w:rsidRPr="00AE36F0" w:rsidRDefault="00F97400" w:rsidP="00F97400">
      <w:pPr>
        <w:jc w:val="both"/>
        <w:rPr>
          <w:rFonts w:ascii="Montserrat" w:hAnsi="Montserrat"/>
        </w:rPr>
      </w:pPr>
      <w:r w:rsidRPr="00AE36F0">
        <w:rPr>
          <w:rFonts w:ascii="Montserrat" w:hAnsi="Montserrat"/>
        </w:rPr>
        <w:t>Al cierre del periodo enero-diciembre de 2025 y 2024, la provisión de porción a corto plazo de la Deuda Pública corresponde al Poder Ejecutivo, como se muestra a continuación:</w:t>
      </w:r>
    </w:p>
    <w:p w14:paraId="47362492" w14:textId="77777777" w:rsidR="00F97400" w:rsidRPr="00AE36F0" w:rsidRDefault="00F97400" w:rsidP="00F97400">
      <w:pPr>
        <w:pBdr>
          <w:top w:val="nil"/>
          <w:left w:val="nil"/>
          <w:bottom w:val="nil"/>
          <w:right w:val="nil"/>
          <w:between w:val="nil"/>
        </w:pBdr>
        <w:jc w:val="center"/>
        <w:rPr>
          <w:rFonts w:ascii="Montserrat" w:hAnsi="Montserrat"/>
          <w:b/>
        </w:rPr>
      </w:pPr>
    </w:p>
    <w:p w14:paraId="12B87A4A" w14:textId="77777777" w:rsidR="00F97400" w:rsidRPr="00AE36F0" w:rsidRDefault="00F97400" w:rsidP="00F97400">
      <w:pPr>
        <w:pBdr>
          <w:top w:val="nil"/>
          <w:left w:val="nil"/>
          <w:bottom w:val="nil"/>
          <w:right w:val="nil"/>
          <w:between w:val="nil"/>
        </w:pBdr>
        <w:jc w:val="center"/>
        <w:rPr>
          <w:rFonts w:ascii="Montserrat" w:hAnsi="Montserrat"/>
          <w:b/>
        </w:rPr>
      </w:pPr>
      <w:r w:rsidRPr="00AE36F0">
        <w:rPr>
          <w:rFonts w:ascii="Montserrat" w:hAnsi="Montserrat"/>
          <w:b/>
        </w:rPr>
        <w:t>(Pesos)</w:t>
      </w:r>
    </w:p>
    <w:tbl>
      <w:tblPr>
        <w:tblW w:w="8985" w:type="dxa"/>
        <w:tblInd w:w="55" w:type="dxa"/>
        <w:tblCellMar>
          <w:left w:w="70" w:type="dxa"/>
          <w:right w:w="70" w:type="dxa"/>
        </w:tblCellMar>
        <w:tblLook w:val="04A0" w:firstRow="1" w:lastRow="0" w:firstColumn="1" w:lastColumn="0" w:noHBand="0" w:noVBand="1"/>
      </w:tblPr>
      <w:tblGrid>
        <w:gridCol w:w="4510"/>
        <w:gridCol w:w="2246"/>
        <w:gridCol w:w="2229"/>
      </w:tblGrid>
      <w:tr w:rsidR="00F97400" w:rsidRPr="00AE36F0" w14:paraId="3CB837FF" w14:textId="77777777" w:rsidTr="004B75E1">
        <w:trPr>
          <w:trHeight w:val="321"/>
        </w:trPr>
        <w:tc>
          <w:tcPr>
            <w:tcW w:w="4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A3821C1" w14:textId="77777777" w:rsidR="00F97400" w:rsidRPr="00AE36F0" w:rsidRDefault="00F97400" w:rsidP="004B75E1">
            <w:pPr>
              <w:jc w:val="center"/>
              <w:rPr>
                <w:rFonts w:ascii="Montserrat" w:eastAsia="Times New Roman" w:hAnsi="Montserrat" w:cs="Arial"/>
                <w:b/>
                <w:bCs/>
                <w:lang w:val="es-MX"/>
              </w:rPr>
            </w:pPr>
            <w:bookmarkStart w:id="17" w:name="_Hlk157391818"/>
            <w:r w:rsidRPr="00AE36F0">
              <w:rPr>
                <w:rFonts w:ascii="Montserrat" w:eastAsia="Times New Roman" w:hAnsi="Montserrat" w:cs="Arial"/>
                <w:b/>
                <w:bCs/>
                <w:lang w:val="es-MX"/>
              </w:rPr>
              <w:t>Concepto</w:t>
            </w:r>
          </w:p>
        </w:tc>
        <w:tc>
          <w:tcPr>
            <w:tcW w:w="224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73BDC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144853D"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2FC8E7B1" w14:textId="77777777" w:rsidTr="004B75E1">
        <w:trPr>
          <w:trHeight w:val="305"/>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02490C61"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Porción a Corto Plazo de la Deuda Pública Interna</w:t>
            </w:r>
          </w:p>
        </w:tc>
        <w:tc>
          <w:tcPr>
            <w:tcW w:w="2246" w:type="dxa"/>
            <w:tcBorders>
              <w:top w:val="nil"/>
              <w:left w:val="nil"/>
              <w:bottom w:val="single" w:sz="8" w:space="0" w:color="auto"/>
              <w:right w:val="single" w:sz="8" w:space="0" w:color="auto"/>
            </w:tcBorders>
            <w:shd w:val="clear" w:color="000000" w:fill="FFFFFF"/>
            <w:noWrap/>
            <w:vAlign w:val="center"/>
            <w:hideMark/>
          </w:tcPr>
          <w:p w14:paraId="476CA2E7"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15,850,091</w:t>
            </w:r>
          </w:p>
        </w:tc>
        <w:tc>
          <w:tcPr>
            <w:tcW w:w="2229" w:type="dxa"/>
            <w:tcBorders>
              <w:top w:val="nil"/>
              <w:left w:val="nil"/>
              <w:bottom w:val="single" w:sz="8" w:space="0" w:color="auto"/>
              <w:right w:val="single" w:sz="8" w:space="0" w:color="auto"/>
            </w:tcBorders>
            <w:shd w:val="clear" w:color="000000" w:fill="FFFFFF"/>
            <w:noWrap/>
            <w:vAlign w:val="center"/>
            <w:hideMark/>
          </w:tcPr>
          <w:p w14:paraId="2DB26491"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14,467,787</w:t>
            </w:r>
          </w:p>
        </w:tc>
      </w:tr>
      <w:tr w:rsidR="00F97400" w:rsidRPr="00AE36F0" w14:paraId="627DFD7A" w14:textId="77777777" w:rsidTr="004B75E1">
        <w:trPr>
          <w:trHeight w:val="321"/>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496D430C"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w:t>
            </w:r>
            <w:r w:rsidRPr="00AE36F0">
              <w:rPr>
                <w:rFonts w:ascii="Montserrat" w:hAnsi="Montserrat"/>
                <w:b/>
              </w:rPr>
              <w:t>Porción a Corto Plazo de la Deuda Pública a Largo Plazo</w:t>
            </w:r>
          </w:p>
        </w:tc>
        <w:tc>
          <w:tcPr>
            <w:tcW w:w="2246" w:type="dxa"/>
            <w:tcBorders>
              <w:top w:val="nil"/>
              <w:left w:val="nil"/>
              <w:bottom w:val="single" w:sz="8" w:space="0" w:color="auto"/>
              <w:right w:val="single" w:sz="8" w:space="0" w:color="auto"/>
            </w:tcBorders>
            <w:shd w:val="clear" w:color="000000" w:fill="FFFFFF"/>
            <w:noWrap/>
            <w:vAlign w:val="center"/>
            <w:hideMark/>
          </w:tcPr>
          <w:p w14:paraId="7FB203B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15,850,091</w:t>
            </w:r>
          </w:p>
        </w:tc>
        <w:tc>
          <w:tcPr>
            <w:tcW w:w="2229" w:type="dxa"/>
            <w:tcBorders>
              <w:top w:val="nil"/>
              <w:left w:val="nil"/>
              <w:bottom w:val="single" w:sz="8" w:space="0" w:color="auto"/>
              <w:right w:val="single" w:sz="8" w:space="0" w:color="auto"/>
            </w:tcBorders>
            <w:shd w:val="clear" w:color="000000" w:fill="FFFFFF"/>
            <w:noWrap/>
            <w:vAlign w:val="center"/>
            <w:hideMark/>
          </w:tcPr>
          <w:p w14:paraId="6B4573F2"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14,467,787</w:t>
            </w:r>
          </w:p>
        </w:tc>
      </w:tr>
    </w:tbl>
    <w:p w14:paraId="1672272F" w14:textId="77777777" w:rsidR="00F97400" w:rsidRPr="00AE36F0" w:rsidRDefault="00F97400" w:rsidP="00F97400">
      <w:pPr>
        <w:jc w:val="both"/>
        <w:rPr>
          <w:rFonts w:ascii="Montserrat" w:hAnsi="Montserrat"/>
          <w:b/>
        </w:rPr>
      </w:pPr>
    </w:p>
    <w:p w14:paraId="34560533" w14:textId="77777777" w:rsidR="00F97400" w:rsidRPr="00AE36F0" w:rsidRDefault="00F97400" w:rsidP="00F97400">
      <w:pPr>
        <w:rPr>
          <w:rFonts w:ascii="Montserrat" w:hAnsi="Montserrat"/>
          <w:b/>
        </w:rPr>
      </w:pPr>
      <w:r w:rsidRPr="00AE36F0">
        <w:rPr>
          <w:rFonts w:ascii="Montserrat" w:hAnsi="Montserrat"/>
          <w:b/>
        </w:rPr>
        <w:t>Nota 13.- Fondos y Bienes de Terceros en Garantía y/o Administración</w:t>
      </w:r>
    </w:p>
    <w:p w14:paraId="6312482C" w14:textId="77777777" w:rsidR="00F97400" w:rsidRPr="00AE36F0" w:rsidRDefault="00F97400" w:rsidP="00F97400">
      <w:pPr>
        <w:rPr>
          <w:rFonts w:ascii="Montserrat" w:hAnsi="Montserrat"/>
          <w:b/>
        </w:rPr>
      </w:pPr>
    </w:p>
    <w:p w14:paraId="4F67A73C"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En este rubro los entes públicos no reflejan movimientos correspondientes al cuarto informe trimestral del ejercicio 2025.</w:t>
      </w:r>
    </w:p>
    <w:p w14:paraId="56878E2C"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296624F9" w14:textId="77777777" w:rsidR="00F97400" w:rsidRPr="00AE36F0" w:rsidRDefault="00F97400" w:rsidP="00F97400">
      <w:pPr>
        <w:rPr>
          <w:rFonts w:ascii="Montserrat" w:hAnsi="Montserrat"/>
          <w:b/>
        </w:rPr>
      </w:pPr>
      <w:r w:rsidRPr="00AE36F0">
        <w:rPr>
          <w:rFonts w:ascii="Montserrat" w:hAnsi="Montserrat"/>
          <w:b/>
        </w:rPr>
        <w:t>Nota 14.- Pasivos Diferidos</w:t>
      </w:r>
    </w:p>
    <w:p w14:paraId="4EA52904" w14:textId="77777777" w:rsidR="00F97400" w:rsidRPr="00AE36F0" w:rsidRDefault="00F97400" w:rsidP="00F97400">
      <w:pPr>
        <w:rPr>
          <w:rFonts w:ascii="Montserrat" w:hAnsi="Montserrat"/>
          <w:b/>
        </w:rPr>
      </w:pPr>
    </w:p>
    <w:p w14:paraId="31236003"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En este rubro los entes públicos no reflejan movimientos correspondientes al cuarto informe trimestral del ejercicio 2025.</w:t>
      </w:r>
    </w:p>
    <w:p w14:paraId="35271999" w14:textId="77777777" w:rsidR="00F97400" w:rsidRPr="00AE36F0" w:rsidRDefault="00F97400" w:rsidP="00F97400">
      <w:pPr>
        <w:rPr>
          <w:rFonts w:ascii="Montserrat" w:hAnsi="Montserrat"/>
          <w:b/>
        </w:rPr>
      </w:pPr>
    </w:p>
    <w:p w14:paraId="14555C63" w14:textId="77777777" w:rsidR="0019069C" w:rsidRDefault="0019069C" w:rsidP="00F97400">
      <w:pPr>
        <w:rPr>
          <w:rFonts w:ascii="Montserrat" w:hAnsi="Montserrat"/>
          <w:b/>
        </w:rPr>
      </w:pPr>
    </w:p>
    <w:p w14:paraId="2A3AA3AA" w14:textId="77777777" w:rsidR="0019069C" w:rsidRDefault="0019069C" w:rsidP="00F97400">
      <w:pPr>
        <w:rPr>
          <w:rFonts w:ascii="Montserrat" w:hAnsi="Montserrat"/>
          <w:b/>
        </w:rPr>
      </w:pPr>
    </w:p>
    <w:p w14:paraId="35759BC4" w14:textId="77777777" w:rsidR="0019069C" w:rsidRDefault="0019069C" w:rsidP="00F97400">
      <w:pPr>
        <w:rPr>
          <w:rFonts w:ascii="Montserrat" w:hAnsi="Montserrat"/>
          <w:b/>
        </w:rPr>
      </w:pPr>
    </w:p>
    <w:p w14:paraId="380DD980" w14:textId="26A57B3D" w:rsidR="00F97400" w:rsidRPr="00AE36F0" w:rsidRDefault="00F97400" w:rsidP="00F97400">
      <w:pPr>
        <w:rPr>
          <w:rFonts w:ascii="Montserrat" w:hAnsi="Montserrat"/>
          <w:b/>
        </w:rPr>
      </w:pPr>
      <w:r w:rsidRPr="00AE36F0">
        <w:rPr>
          <w:rFonts w:ascii="Montserrat" w:hAnsi="Montserrat"/>
          <w:b/>
        </w:rPr>
        <w:lastRenderedPageBreak/>
        <w:t>Nota 15.- Provisiones</w:t>
      </w:r>
    </w:p>
    <w:p w14:paraId="065DD1F4" w14:textId="77777777" w:rsidR="00F97400" w:rsidRPr="00AE36F0" w:rsidRDefault="00F97400" w:rsidP="00F97400">
      <w:pPr>
        <w:rPr>
          <w:rFonts w:ascii="Montserrat" w:hAnsi="Montserrat"/>
          <w:b/>
        </w:rPr>
      </w:pPr>
    </w:p>
    <w:p w14:paraId="584C37EF" w14:textId="77777777" w:rsidR="00F97400" w:rsidRPr="00AE36F0" w:rsidRDefault="00F97400" w:rsidP="00F97400">
      <w:pPr>
        <w:pBdr>
          <w:top w:val="nil"/>
          <w:left w:val="nil"/>
          <w:bottom w:val="nil"/>
          <w:right w:val="nil"/>
          <w:between w:val="nil"/>
        </w:pBdr>
        <w:jc w:val="both"/>
        <w:rPr>
          <w:rFonts w:ascii="Montserrat" w:hAnsi="Montserrat"/>
          <w:color w:val="000000"/>
        </w:rPr>
      </w:pPr>
      <w:r w:rsidRPr="00AE36F0">
        <w:rPr>
          <w:rFonts w:ascii="Montserrat" w:hAnsi="Montserrat"/>
          <w:color w:val="000000"/>
        </w:rPr>
        <w:t>En este rubro los entes públicos no reflejan movimientos correspondientes al cuarto informe trimestral del ejercicio 2025.</w:t>
      </w:r>
    </w:p>
    <w:p w14:paraId="7F0AB1CC" w14:textId="77777777" w:rsidR="00F97400" w:rsidRPr="00AE36F0" w:rsidRDefault="00F97400" w:rsidP="00F97400">
      <w:pPr>
        <w:pBdr>
          <w:top w:val="nil"/>
          <w:left w:val="nil"/>
          <w:bottom w:val="nil"/>
          <w:right w:val="nil"/>
          <w:between w:val="nil"/>
        </w:pBdr>
        <w:jc w:val="both"/>
        <w:rPr>
          <w:rFonts w:ascii="Montserrat" w:hAnsi="Montserrat"/>
          <w:color w:val="000000"/>
        </w:rPr>
      </w:pPr>
    </w:p>
    <w:p w14:paraId="5853E77A" w14:textId="77777777" w:rsidR="00F97400" w:rsidRPr="00AE36F0" w:rsidRDefault="00F97400" w:rsidP="00F97400">
      <w:pPr>
        <w:jc w:val="both"/>
        <w:rPr>
          <w:rFonts w:ascii="Montserrat" w:hAnsi="Montserrat"/>
          <w:b/>
        </w:rPr>
      </w:pPr>
      <w:r w:rsidRPr="00AE36F0">
        <w:rPr>
          <w:rFonts w:ascii="Montserrat" w:hAnsi="Montserrat"/>
          <w:b/>
        </w:rPr>
        <w:t>Nota 16.- Otros Pasivos a Corto Plazo.</w:t>
      </w:r>
    </w:p>
    <w:bookmarkEnd w:id="17"/>
    <w:p w14:paraId="25E423A4" w14:textId="77777777" w:rsidR="00F97400" w:rsidRPr="00AE36F0" w:rsidRDefault="00F97400" w:rsidP="00F97400">
      <w:pPr>
        <w:jc w:val="both"/>
        <w:rPr>
          <w:rFonts w:ascii="Montserrat" w:hAnsi="Montserrat"/>
        </w:rPr>
      </w:pPr>
    </w:p>
    <w:p w14:paraId="3C3808C5" w14:textId="77777777" w:rsidR="00F97400" w:rsidRPr="00AE36F0" w:rsidRDefault="00F97400" w:rsidP="00F97400">
      <w:pPr>
        <w:jc w:val="both"/>
        <w:rPr>
          <w:rFonts w:ascii="Montserrat" w:hAnsi="Montserrat"/>
        </w:rPr>
      </w:pPr>
      <w:r w:rsidRPr="00AE36F0">
        <w:rPr>
          <w:rFonts w:ascii="Montserrat" w:hAnsi="Montserrat"/>
        </w:rPr>
        <w:t>El saldo dentro del Poder Ejecutivo de las cuentas que conforman este rubro del pasivo representa el monto de los adeudos del Estado con terceros institucionales, que deberá pagar en un plazo menor o igual a doce meses.</w:t>
      </w:r>
    </w:p>
    <w:p w14:paraId="4CB53E44" w14:textId="77777777" w:rsidR="00F97400" w:rsidRPr="00AE36F0" w:rsidRDefault="00F97400" w:rsidP="00F97400">
      <w:pPr>
        <w:jc w:val="both"/>
        <w:rPr>
          <w:rFonts w:ascii="Montserrat" w:hAnsi="Montserrat"/>
        </w:rPr>
      </w:pPr>
    </w:p>
    <w:p w14:paraId="6022823B" w14:textId="77777777" w:rsidR="00F97400" w:rsidRPr="00AE36F0" w:rsidRDefault="00F97400" w:rsidP="00F97400">
      <w:pPr>
        <w:jc w:val="both"/>
        <w:rPr>
          <w:rFonts w:ascii="Montserrat" w:hAnsi="Montserrat"/>
        </w:rPr>
      </w:pPr>
      <w:r w:rsidRPr="00AE36F0">
        <w:rPr>
          <w:rFonts w:ascii="Montserrat" w:hAnsi="Montserrat"/>
        </w:rPr>
        <w:t>Se integra Al 31 de diciembre de 2025 y 2024 de la siguiente forma:</w:t>
      </w:r>
    </w:p>
    <w:p w14:paraId="26EAEEDF" w14:textId="77777777" w:rsidR="00F97400" w:rsidRPr="00AE36F0" w:rsidRDefault="00F97400" w:rsidP="00F97400">
      <w:pPr>
        <w:jc w:val="both"/>
        <w:rPr>
          <w:rFonts w:ascii="Montserrat" w:hAnsi="Montserrat"/>
        </w:rPr>
      </w:pPr>
    </w:p>
    <w:p w14:paraId="1DDAA7E5" w14:textId="77777777" w:rsidR="00F97400" w:rsidRPr="00AE36F0" w:rsidRDefault="00F97400" w:rsidP="00F97400">
      <w:pPr>
        <w:jc w:val="center"/>
        <w:rPr>
          <w:rFonts w:ascii="Montserrat" w:hAnsi="Montserrat"/>
          <w:b/>
        </w:rPr>
      </w:pPr>
      <w:r w:rsidRPr="00AE36F0">
        <w:rPr>
          <w:rFonts w:ascii="Montserrat" w:hAnsi="Montserrat"/>
          <w:b/>
        </w:rPr>
        <w:t>(Pesos)</w:t>
      </w:r>
    </w:p>
    <w:tbl>
      <w:tblPr>
        <w:tblW w:w="902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0"/>
        <w:gridCol w:w="2256"/>
        <w:gridCol w:w="2238"/>
      </w:tblGrid>
      <w:tr w:rsidR="00F97400" w:rsidRPr="00AE36F0" w14:paraId="2C5FB865" w14:textId="77777777" w:rsidTr="004B75E1">
        <w:trPr>
          <w:trHeight w:val="307"/>
        </w:trPr>
        <w:tc>
          <w:tcPr>
            <w:tcW w:w="4530" w:type="dxa"/>
            <w:shd w:val="clear" w:color="auto" w:fill="D9D9D9" w:themeFill="background1" w:themeFillShade="D9"/>
            <w:vAlign w:val="center"/>
            <w:hideMark/>
          </w:tcPr>
          <w:p w14:paraId="6867CF96"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6" w:type="dxa"/>
            <w:shd w:val="clear" w:color="auto" w:fill="D9D9D9" w:themeFill="background1" w:themeFillShade="D9"/>
            <w:vAlign w:val="center"/>
            <w:hideMark/>
          </w:tcPr>
          <w:p w14:paraId="71938DB3"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8" w:type="dxa"/>
            <w:shd w:val="clear" w:color="auto" w:fill="D9D9D9" w:themeFill="background1" w:themeFillShade="D9"/>
            <w:vAlign w:val="center"/>
            <w:hideMark/>
          </w:tcPr>
          <w:p w14:paraId="44AFEE8F"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10E0D3EB" w14:textId="77777777" w:rsidTr="004B75E1">
        <w:trPr>
          <w:trHeight w:val="278"/>
        </w:trPr>
        <w:tc>
          <w:tcPr>
            <w:tcW w:w="4530" w:type="dxa"/>
            <w:shd w:val="clear" w:color="000000" w:fill="FFFFFF"/>
            <w:noWrap/>
            <w:vAlign w:val="center"/>
            <w:hideMark/>
          </w:tcPr>
          <w:p w14:paraId="6F31C95D"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Ingresos Por Clasificar</w:t>
            </w:r>
          </w:p>
        </w:tc>
        <w:tc>
          <w:tcPr>
            <w:tcW w:w="2256" w:type="dxa"/>
            <w:shd w:val="clear" w:color="000000" w:fill="FFFFFF"/>
            <w:noWrap/>
            <w:vAlign w:val="center"/>
            <w:hideMark/>
          </w:tcPr>
          <w:p w14:paraId="6406EA59"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26,731,678</w:t>
            </w:r>
          </w:p>
        </w:tc>
        <w:tc>
          <w:tcPr>
            <w:tcW w:w="2238" w:type="dxa"/>
            <w:shd w:val="clear" w:color="000000" w:fill="FFFFFF"/>
            <w:noWrap/>
            <w:vAlign w:val="center"/>
            <w:hideMark/>
          </w:tcPr>
          <w:p w14:paraId="78593205"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27,871,586</w:t>
            </w:r>
          </w:p>
        </w:tc>
      </w:tr>
      <w:tr w:rsidR="00F97400" w:rsidRPr="00AE36F0" w14:paraId="7DE331EC" w14:textId="77777777" w:rsidTr="004B75E1">
        <w:trPr>
          <w:trHeight w:val="278"/>
        </w:trPr>
        <w:tc>
          <w:tcPr>
            <w:tcW w:w="4530" w:type="dxa"/>
            <w:shd w:val="clear" w:color="000000" w:fill="FFFFFF"/>
            <w:noWrap/>
            <w:vAlign w:val="center"/>
            <w:hideMark/>
          </w:tcPr>
          <w:p w14:paraId="1C2E99A4"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Recaudación Por Participar</w:t>
            </w:r>
          </w:p>
        </w:tc>
        <w:tc>
          <w:tcPr>
            <w:tcW w:w="2256" w:type="dxa"/>
            <w:shd w:val="clear" w:color="000000" w:fill="FFFFFF"/>
            <w:noWrap/>
            <w:vAlign w:val="center"/>
            <w:hideMark/>
          </w:tcPr>
          <w:p w14:paraId="42C8F60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31,879,571</w:t>
            </w:r>
          </w:p>
        </w:tc>
        <w:tc>
          <w:tcPr>
            <w:tcW w:w="2238" w:type="dxa"/>
            <w:shd w:val="clear" w:color="000000" w:fill="FFFFFF"/>
            <w:noWrap/>
            <w:vAlign w:val="center"/>
            <w:hideMark/>
          </w:tcPr>
          <w:p w14:paraId="329449E2"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28,833,943</w:t>
            </w:r>
          </w:p>
        </w:tc>
      </w:tr>
      <w:tr w:rsidR="00F97400" w:rsidRPr="00AE36F0" w14:paraId="22E8C51A" w14:textId="77777777" w:rsidTr="004B75E1">
        <w:trPr>
          <w:trHeight w:val="293"/>
        </w:trPr>
        <w:tc>
          <w:tcPr>
            <w:tcW w:w="4530" w:type="dxa"/>
            <w:shd w:val="clear" w:color="000000" w:fill="FFFFFF"/>
            <w:noWrap/>
            <w:vAlign w:val="center"/>
            <w:hideMark/>
          </w:tcPr>
          <w:p w14:paraId="0FFF2E3D"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Otros Pasivos Circulantes</w:t>
            </w:r>
          </w:p>
        </w:tc>
        <w:tc>
          <w:tcPr>
            <w:tcW w:w="2256" w:type="dxa"/>
            <w:shd w:val="clear" w:color="000000" w:fill="FFFFFF"/>
            <w:noWrap/>
            <w:vAlign w:val="center"/>
            <w:hideMark/>
          </w:tcPr>
          <w:p w14:paraId="4B9D853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1,510,776</w:t>
            </w:r>
          </w:p>
        </w:tc>
        <w:tc>
          <w:tcPr>
            <w:tcW w:w="2238" w:type="dxa"/>
            <w:shd w:val="clear" w:color="000000" w:fill="FFFFFF"/>
            <w:noWrap/>
            <w:vAlign w:val="center"/>
            <w:hideMark/>
          </w:tcPr>
          <w:p w14:paraId="750D865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2,337,534</w:t>
            </w:r>
          </w:p>
        </w:tc>
      </w:tr>
      <w:tr w:rsidR="00F97400" w:rsidRPr="00AE36F0" w14:paraId="35318C11" w14:textId="77777777" w:rsidTr="004B75E1">
        <w:trPr>
          <w:trHeight w:val="307"/>
        </w:trPr>
        <w:tc>
          <w:tcPr>
            <w:tcW w:w="4530" w:type="dxa"/>
            <w:shd w:val="clear" w:color="000000" w:fill="FFFFFF"/>
            <w:noWrap/>
            <w:vAlign w:val="center"/>
            <w:hideMark/>
          </w:tcPr>
          <w:p w14:paraId="56DE4126"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w:t>
            </w:r>
            <w:r w:rsidRPr="00AE36F0">
              <w:rPr>
                <w:rFonts w:ascii="Montserrat" w:hAnsi="Montserrat"/>
                <w:b/>
              </w:rPr>
              <w:t>Otros Pasivos a Corto Plazo</w:t>
            </w:r>
            <w:r w:rsidRPr="00AE36F0">
              <w:rPr>
                <w:rFonts w:ascii="Montserrat" w:eastAsia="Times New Roman" w:hAnsi="Montserrat" w:cs="Arial"/>
                <w:b/>
                <w:bCs/>
                <w:color w:val="000000"/>
                <w:lang w:val="es-MX"/>
              </w:rPr>
              <w:t xml:space="preserve"> </w:t>
            </w:r>
          </w:p>
        </w:tc>
        <w:tc>
          <w:tcPr>
            <w:tcW w:w="2256" w:type="dxa"/>
            <w:shd w:val="clear" w:color="000000" w:fill="FFFFFF"/>
            <w:noWrap/>
            <w:vAlign w:val="center"/>
            <w:hideMark/>
          </w:tcPr>
          <w:p w14:paraId="27762C51"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60,122,025</w:t>
            </w:r>
          </w:p>
        </w:tc>
        <w:tc>
          <w:tcPr>
            <w:tcW w:w="2238" w:type="dxa"/>
            <w:shd w:val="clear" w:color="000000" w:fill="FFFFFF"/>
            <w:noWrap/>
            <w:vAlign w:val="center"/>
            <w:hideMark/>
          </w:tcPr>
          <w:p w14:paraId="7B8EED46"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59,043,062</w:t>
            </w:r>
          </w:p>
        </w:tc>
      </w:tr>
    </w:tbl>
    <w:p w14:paraId="48D748E8" w14:textId="77777777" w:rsidR="00F97400" w:rsidRPr="00AE36F0" w:rsidRDefault="00F97400" w:rsidP="00F97400">
      <w:pPr>
        <w:tabs>
          <w:tab w:val="left" w:pos="2859"/>
        </w:tabs>
        <w:rPr>
          <w:rFonts w:ascii="Montserrat" w:hAnsi="Montserrat"/>
          <w:b/>
        </w:rPr>
      </w:pPr>
    </w:p>
    <w:p w14:paraId="0614D93B" w14:textId="77777777" w:rsidR="00F97400" w:rsidRPr="00AE36F0" w:rsidRDefault="00F97400" w:rsidP="00F97400">
      <w:pPr>
        <w:tabs>
          <w:tab w:val="left" w:pos="142"/>
        </w:tabs>
        <w:jc w:val="both"/>
        <w:rPr>
          <w:rFonts w:ascii="Montserrat" w:hAnsi="Montserrat"/>
        </w:rPr>
      </w:pPr>
      <w:bookmarkStart w:id="18" w:name="_Hlk157391948"/>
      <w:r w:rsidRPr="00AE36F0">
        <w:rPr>
          <w:rFonts w:ascii="Montserrat" w:hAnsi="Montserrat"/>
          <w:b/>
        </w:rPr>
        <w:t>Nota 17.- Deuda Pública a Largo Plazo.</w:t>
      </w:r>
    </w:p>
    <w:bookmarkEnd w:id="18"/>
    <w:p w14:paraId="68DE63F4" w14:textId="77777777" w:rsidR="00F97400" w:rsidRPr="00AE36F0" w:rsidRDefault="00F97400" w:rsidP="00F97400">
      <w:pPr>
        <w:tabs>
          <w:tab w:val="left" w:pos="142"/>
        </w:tabs>
        <w:ind w:firstLine="720"/>
        <w:jc w:val="both"/>
        <w:rPr>
          <w:rFonts w:ascii="Montserrat" w:hAnsi="Montserrat"/>
        </w:rPr>
      </w:pPr>
    </w:p>
    <w:p w14:paraId="36AD7855" w14:textId="77777777" w:rsidR="00F97400" w:rsidRPr="00AE36F0" w:rsidRDefault="00F97400" w:rsidP="00F97400">
      <w:pPr>
        <w:tabs>
          <w:tab w:val="left" w:pos="142"/>
        </w:tabs>
        <w:jc w:val="both"/>
        <w:rPr>
          <w:rFonts w:ascii="Montserrat" w:hAnsi="Montserrat"/>
        </w:rPr>
      </w:pPr>
      <w:r w:rsidRPr="00AE36F0">
        <w:rPr>
          <w:rFonts w:ascii="Montserrat" w:hAnsi="Montserrat"/>
        </w:rPr>
        <w:t>El saldo de esta cuenta representa el monto de las obligaciones directas o contingentes derivadas de financiamiento a cargo del Estado dentro del Poder Ejecutivo. A continuación, se presenta la integración de este rubro de enero-diciembre de 2025 y 2024:</w:t>
      </w:r>
    </w:p>
    <w:p w14:paraId="37EE35E9" w14:textId="77777777" w:rsidR="00F97400" w:rsidRPr="00AE36F0" w:rsidRDefault="00F97400" w:rsidP="00F97400">
      <w:pPr>
        <w:jc w:val="center"/>
        <w:rPr>
          <w:rFonts w:ascii="Montserrat" w:hAnsi="Montserrat"/>
          <w:b/>
        </w:rPr>
      </w:pPr>
      <w:r w:rsidRPr="00AE36F0">
        <w:rPr>
          <w:rFonts w:ascii="Montserrat" w:hAnsi="Montserrat"/>
          <w:b/>
        </w:rPr>
        <w:t xml:space="preserve"> (Pesos)</w:t>
      </w:r>
    </w:p>
    <w:tbl>
      <w:tblPr>
        <w:tblW w:w="9007" w:type="dxa"/>
        <w:tblInd w:w="55" w:type="dxa"/>
        <w:tblCellMar>
          <w:left w:w="70" w:type="dxa"/>
          <w:right w:w="70" w:type="dxa"/>
        </w:tblCellMar>
        <w:tblLook w:val="04A0" w:firstRow="1" w:lastRow="0" w:firstColumn="1" w:lastColumn="0" w:noHBand="0" w:noVBand="1"/>
      </w:tblPr>
      <w:tblGrid>
        <w:gridCol w:w="4613"/>
        <w:gridCol w:w="2126"/>
        <w:gridCol w:w="2268"/>
      </w:tblGrid>
      <w:tr w:rsidR="00F97400" w:rsidRPr="00AE36F0" w14:paraId="0DE53E58" w14:textId="77777777" w:rsidTr="00EA5919">
        <w:trPr>
          <w:trHeight w:val="306"/>
        </w:trPr>
        <w:tc>
          <w:tcPr>
            <w:tcW w:w="461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8970E1A"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04C8D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099F8A8"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3B0F92BC" w14:textId="77777777" w:rsidTr="00EA5919">
        <w:trPr>
          <w:trHeight w:val="568"/>
        </w:trPr>
        <w:tc>
          <w:tcPr>
            <w:tcW w:w="4613" w:type="dxa"/>
            <w:tcBorders>
              <w:top w:val="nil"/>
              <w:left w:val="single" w:sz="8" w:space="0" w:color="auto"/>
              <w:bottom w:val="single" w:sz="8" w:space="0" w:color="auto"/>
              <w:right w:val="single" w:sz="8" w:space="0" w:color="auto"/>
            </w:tcBorders>
            <w:noWrap/>
            <w:vAlign w:val="center"/>
            <w:hideMark/>
          </w:tcPr>
          <w:p w14:paraId="2E956C5E"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 xml:space="preserve">Prestamos de la Deuda Pública Interna por Pagar a Largo Plazo </w:t>
            </w:r>
          </w:p>
        </w:tc>
        <w:tc>
          <w:tcPr>
            <w:tcW w:w="2126" w:type="dxa"/>
            <w:tcBorders>
              <w:top w:val="nil"/>
              <w:left w:val="nil"/>
              <w:bottom w:val="single" w:sz="8" w:space="0" w:color="auto"/>
              <w:right w:val="single" w:sz="8" w:space="0" w:color="auto"/>
            </w:tcBorders>
            <w:shd w:val="clear" w:color="000000" w:fill="FFFFFF"/>
            <w:noWrap/>
            <w:vAlign w:val="center"/>
            <w:hideMark/>
          </w:tcPr>
          <w:p w14:paraId="356B270B"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14,675,398,397</w:t>
            </w:r>
          </w:p>
        </w:tc>
        <w:tc>
          <w:tcPr>
            <w:tcW w:w="2268" w:type="dxa"/>
            <w:tcBorders>
              <w:top w:val="nil"/>
              <w:left w:val="nil"/>
              <w:bottom w:val="single" w:sz="8" w:space="0" w:color="auto"/>
              <w:right w:val="single" w:sz="8" w:space="0" w:color="auto"/>
            </w:tcBorders>
            <w:shd w:val="clear" w:color="000000" w:fill="FFFFFF"/>
            <w:noWrap/>
            <w:vAlign w:val="center"/>
            <w:hideMark/>
          </w:tcPr>
          <w:p w14:paraId="6AC5A31D"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14,901,301,225</w:t>
            </w:r>
          </w:p>
        </w:tc>
      </w:tr>
      <w:tr w:rsidR="00F97400" w:rsidRPr="00AE36F0" w14:paraId="356BA9F6" w14:textId="77777777" w:rsidTr="00EA5919">
        <w:trPr>
          <w:trHeight w:val="306"/>
        </w:trPr>
        <w:tc>
          <w:tcPr>
            <w:tcW w:w="4613" w:type="dxa"/>
            <w:tcBorders>
              <w:top w:val="nil"/>
              <w:left w:val="single" w:sz="8" w:space="0" w:color="auto"/>
              <w:bottom w:val="single" w:sz="8" w:space="0" w:color="auto"/>
              <w:right w:val="single" w:sz="8" w:space="0" w:color="auto"/>
            </w:tcBorders>
            <w:shd w:val="clear" w:color="000000" w:fill="FFFFFF"/>
            <w:noWrap/>
            <w:vAlign w:val="center"/>
            <w:hideMark/>
          </w:tcPr>
          <w:p w14:paraId="5F7D123B"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w:t>
            </w:r>
            <w:r w:rsidRPr="00AE36F0">
              <w:rPr>
                <w:rFonts w:ascii="Montserrat" w:hAnsi="Montserrat"/>
                <w:b/>
              </w:rPr>
              <w:t>Deuda Pública a Largo Plazo</w:t>
            </w:r>
          </w:p>
        </w:tc>
        <w:tc>
          <w:tcPr>
            <w:tcW w:w="2126" w:type="dxa"/>
            <w:tcBorders>
              <w:top w:val="nil"/>
              <w:left w:val="nil"/>
              <w:bottom w:val="single" w:sz="8" w:space="0" w:color="auto"/>
              <w:right w:val="single" w:sz="8" w:space="0" w:color="auto"/>
            </w:tcBorders>
            <w:shd w:val="clear" w:color="000000" w:fill="FFFFFF"/>
            <w:noWrap/>
            <w:vAlign w:val="center"/>
            <w:hideMark/>
          </w:tcPr>
          <w:p w14:paraId="5C315CC4"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14,675,398,397</w:t>
            </w:r>
          </w:p>
        </w:tc>
        <w:tc>
          <w:tcPr>
            <w:tcW w:w="2268" w:type="dxa"/>
            <w:tcBorders>
              <w:top w:val="nil"/>
              <w:left w:val="nil"/>
              <w:bottom w:val="single" w:sz="8" w:space="0" w:color="auto"/>
              <w:right w:val="single" w:sz="8" w:space="0" w:color="auto"/>
            </w:tcBorders>
            <w:shd w:val="clear" w:color="000000" w:fill="FFFFFF"/>
            <w:noWrap/>
            <w:vAlign w:val="center"/>
            <w:hideMark/>
          </w:tcPr>
          <w:p w14:paraId="6CC0A44A"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14,901,301,225</w:t>
            </w:r>
          </w:p>
        </w:tc>
      </w:tr>
    </w:tbl>
    <w:p w14:paraId="7E641E9A" w14:textId="77777777" w:rsidR="00F97400" w:rsidRPr="00AE36F0" w:rsidRDefault="00F97400" w:rsidP="00F97400">
      <w:pPr>
        <w:jc w:val="center"/>
        <w:rPr>
          <w:rFonts w:ascii="Montserrat" w:hAnsi="Montserrat"/>
          <w:b/>
        </w:rPr>
      </w:pPr>
    </w:p>
    <w:p w14:paraId="61F6EAC9" w14:textId="77777777" w:rsidR="00F97400" w:rsidRPr="00AE36F0" w:rsidRDefault="00F97400" w:rsidP="00F97400">
      <w:pPr>
        <w:rPr>
          <w:rFonts w:ascii="Montserrat" w:hAnsi="Montserrat"/>
        </w:rPr>
      </w:pPr>
    </w:p>
    <w:p w14:paraId="589A1023" w14:textId="77777777" w:rsidR="00F97400" w:rsidRPr="00AE36F0" w:rsidRDefault="00F97400" w:rsidP="00F97400">
      <w:pPr>
        <w:jc w:val="both"/>
        <w:rPr>
          <w:rFonts w:ascii="Montserrat" w:hAnsi="Montserrat"/>
          <w:b/>
        </w:rPr>
      </w:pPr>
      <w:bookmarkStart w:id="19" w:name="_Hlk157392040"/>
      <w:r w:rsidRPr="00AE36F0">
        <w:rPr>
          <w:rFonts w:ascii="Montserrat" w:hAnsi="Montserrat"/>
          <w:b/>
        </w:rPr>
        <w:lastRenderedPageBreak/>
        <w:t>Nota 18.- Fondos y Bienes de Terceros en Garantía y/o en Administración a Largo Plazo.</w:t>
      </w:r>
    </w:p>
    <w:bookmarkEnd w:id="19"/>
    <w:p w14:paraId="2969F6DE" w14:textId="77777777" w:rsidR="00F97400" w:rsidRPr="00AE36F0" w:rsidRDefault="00F97400" w:rsidP="00F97400">
      <w:pPr>
        <w:jc w:val="both"/>
        <w:rPr>
          <w:rFonts w:ascii="Montserrat" w:hAnsi="Montserrat"/>
          <w:b/>
        </w:rPr>
      </w:pPr>
    </w:p>
    <w:p w14:paraId="6130688E" w14:textId="77777777" w:rsidR="00F97400" w:rsidRPr="00AE36F0" w:rsidRDefault="00F97400" w:rsidP="00F97400">
      <w:pPr>
        <w:jc w:val="both"/>
        <w:rPr>
          <w:rFonts w:ascii="Montserrat" w:hAnsi="Montserrat"/>
        </w:rPr>
      </w:pPr>
      <w:r w:rsidRPr="00AE36F0">
        <w:rPr>
          <w:rFonts w:ascii="Montserrat" w:hAnsi="Montserrat"/>
        </w:rPr>
        <w:t>El saldo Al 31 de diciembre de 2025 y 2024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1927FB7C" w14:textId="77777777" w:rsidR="00F97400" w:rsidRPr="00AE36F0" w:rsidRDefault="00F97400" w:rsidP="00F97400">
      <w:pPr>
        <w:rPr>
          <w:rFonts w:ascii="Montserrat" w:hAnsi="Montserrat"/>
        </w:rPr>
      </w:pPr>
    </w:p>
    <w:p w14:paraId="2DE78D1A" w14:textId="77777777" w:rsidR="00F97400" w:rsidRPr="00AE36F0" w:rsidRDefault="00F97400" w:rsidP="00F97400">
      <w:pPr>
        <w:jc w:val="center"/>
        <w:rPr>
          <w:rFonts w:ascii="Montserrat" w:hAnsi="Montserrat"/>
          <w:b/>
        </w:rPr>
      </w:pPr>
      <w:r w:rsidRPr="00AE36F0">
        <w:rPr>
          <w:rFonts w:ascii="Montserrat" w:hAnsi="Montserrat"/>
          <w:b/>
        </w:rPr>
        <w:t>(Pesos)</w:t>
      </w:r>
    </w:p>
    <w:tbl>
      <w:tblPr>
        <w:tblW w:w="894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2"/>
        <w:gridCol w:w="2237"/>
        <w:gridCol w:w="2220"/>
      </w:tblGrid>
      <w:tr w:rsidR="00F97400" w:rsidRPr="00AE36F0" w14:paraId="7416175D" w14:textId="77777777" w:rsidTr="004B75E1">
        <w:trPr>
          <w:trHeight w:val="303"/>
        </w:trPr>
        <w:tc>
          <w:tcPr>
            <w:tcW w:w="4492" w:type="dxa"/>
            <w:shd w:val="clear" w:color="auto" w:fill="D9D9D9" w:themeFill="background1" w:themeFillShade="D9"/>
            <w:vAlign w:val="center"/>
            <w:hideMark/>
          </w:tcPr>
          <w:p w14:paraId="271CFC1C" w14:textId="77777777" w:rsidR="00F97400" w:rsidRPr="00AE36F0" w:rsidRDefault="00F97400" w:rsidP="004B75E1">
            <w:pPr>
              <w:jc w:val="center"/>
              <w:rPr>
                <w:rFonts w:ascii="Montserrat" w:eastAsia="Times New Roman" w:hAnsi="Montserrat" w:cs="Arial"/>
                <w:b/>
                <w:bCs/>
                <w:lang w:val="es-MX"/>
              </w:rPr>
            </w:pPr>
            <w:bookmarkStart w:id="20" w:name="_Hlk157392110"/>
            <w:r w:rsidRPr="00AE36F0">
              <w:rPr>
                <w:rFonts w:ascii="Montserrat" w:eastAsia="Times New Roman" w:hAnsi="Montserrat" w:cs="Arial"/>
                <w:b/>
                <w:bCs/>
                <w:lang w:val="es-MX"/>
              </w:rPr>
              <w:t>Concepto</w:t>
            </w:r>
          </w:p>
        </w:tc>
        <w:tc>
          <w:tcPr>
            <w:tcW w:w="2237" w:type="dxa"/>
            <w:shd w:val="clear" w:color="auto" w:fill="D9D9D9" w:themeFill="background1" w:themeFillShade="D9"/>
            <w:vAlign w:val="center"/>
            <w:hideMark/>
          </w:tcPr>
          <w:p w14:paraId="1E007399"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20" w:type="dxa"/>
            <w:shd w:val="clear" w:color="auto" w:fill="D9D9D9" w:themeFill="background1" w:themeFillShade="D9"/>
            <w:vAlign w:val="center"/>
            <w:hideMark/>
          </w:tcPr>
          <w:p w14:paraId="125F7B9E"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261B5941" w14:textId="77777777" w:rsidTr="004B75E1">
        <w:trPr>
          <w:trHeight w:val="289"/>
        </w:trPr>
        <w:tc>
          <w:tcPr>
            <w:tcW w:w="4492" w:type="dxa"/>
            <w:shd w:val="clear" w:color="000000" w:fill="FFFFFF"/>
            <w:noWrap/>
            <w:vAlign w:val="center"/>
            <w:hideMark/>
          </w:tcPr>
          <w:p w14:paraId="0E8B491E"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Fondos en Garantía a Largo Plazo</w:t>
            </w:r>
          </w:p>
        </w:tc>
        <w:tc>
          <w:tcPr>
            <w:tcW w:w="2237" w:type="dxa"/>
            <w:shd w:val="clear" w:color="000000" w:fill="FFFFFF"/>
            <w:noWrap/>
            <w:vAlign w:val="center"/>
            <w:hideMark/>
          </w:tcPr>
          <w:p w14:paraId="1080C0F8"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26,651,287</w:t>
            </w:r>
          </w:p>
        </w:tc>
        <w:tc>
          <w:tcPr>
            <w:tcW w:w="2220" w:type="dxa"/>
            <w:shd w:val="clear" w:color="000000" w:fill="FFFFFF"/>
            <w:noWrap/>
            <w:vAlign w:val="center"/>
            <w:hideMark/>
          </w:tcPr>
          <w:p w14:paraId="36779EF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24,544,283</w:t>
            </w:r>
          </w:p>
        </w:tc>
      </w:tr>
      <w:tr w:rsidR="00F97400" w:rsidRPr="00AE36F0" w14:paraId="2CA31B65" w14:textId="77777777" w:rsidTr="004B75E1">
        <w:trPr>
          <w:trHeight w:val="303"/>
        </w:trPr>
        <w:tc>
          <w:tcPr>
            <w:tcW w:w="4492" w:type="dxa"/>
            <w:shd w:val="clear" w:color="000000" w:fill="FFFFFF"/>
            <w:noWrap/>
            <w:vAlign w:val="center"/>
            <w:hideMark/>
          </w:tcPr>
          <w:p w14:paraId="023BEA6F"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Fondos en Garantía a Largo Plazo</w:t>
            </w:r>
          </w:p>
        </w:tc>
        <w:tc>
          <w:tcPr>
            <w:tcW w:w="2237" w:type="dxa"/>
            <w:shd w:val="clear" w:color="000000" w:fill="FFFFFF"/>
            <w:noWrap/>
            <w:vAlign w:val="center"/>
            <w:hideMark/>
          </w:tcPr>
          <w:p w14:paraId="4F9D534E"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26,651,287</w:t>
            </w:r>
          </w:p>
        </w:tc>
        <w:tc>
          <w:tcPr>
            <w:tcW w:w="2220" w:type="dxa"/>
            <w:shd w:val="clear" w:color="000000" w:fill="FFFFFF"/>
            <w:noWrap/>
            <w:vAlign w:val="center"/>
            <w:hideMark/>
          </w:tcPr>
          <w:p w14:paraId="6191ACE8"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24,544,283</w:t>
            </w:r>
          </w:p>
        </w:tc>
      </w:tr>
    </w:tbl>
    <w:p w14:paraId="085EC6BD" w14:textId="77777777" w:rsidR="00F97400" w:rsidRPr="00AE36F0" w:rsidRDefault="00F97400" w:rsidP="00F97400">
      <w:pPr>
        <w:rPr>
          <w:rFonts w:ascii="Montserrat" w:hAnsi="Montserrat"/>
          <w:b/>
        </w:rPr>
      </w:pPr>
    </w:p>
    <w:p w14:paraId="36FAFA5B" w14:textId="77777777" w:rsidR="00F97400" w:rsidRPr="00AE36F0" w:rsidRDefault="00F97400" w:rsidP="00F97400">
      <w:pPr>
        <w:rPr>
          <w:rFonts w:ascii="Montserrat" w:hAnsi="Montserrat"/>
          <w:b/>
        </w:rPr>
      </w:pPr>
    </w:p>
    <w:p w14:paraId="556349A7" w14:textId="77777777" w:rsidR="00F97400" w:rsidRPr="00AE36F0" w:rsidRDefault="00F97400" w:rsidP="00F97400">
      <w:pPr>
        <w:rPr>
          <w:rFonts w:ascii="Montserrat" w:hAnsi="Montserrat"/>
          <w:b/>
        </w:rPr>
      </w:pPr>
      <w:r w:rsidRPr="00AE36F0">
        <w:rPr>
          <w:rFonts w:ascii="Montserrat" w:hAnsi="Montserrat"/>
          <w:b/>
        </w:rPr>
        <w:t>NOTAS AL ESTADO DE VARIACIÓN EN LA HACIENDA PÚBLICA</w:t>
      </w:r>
    </w:p>
    <w:p w14:paraId="5D0D6847" w14:textId="77777777" w:rsidR="00F97400" w:rsidRPr="00AE36F0" w:rsidRDefault="00F97400" w:rsidP="00F97400">
      <w:pPr>
        <w:jc w:val="both"/>
        <w:rPr>
          <w:rFonts w:ascii="Montserrat" w:hAnsi="Montserrat"/>
          <w:b/>
        </w:rPr>
      </w:pPr>
    </w:p>
    <w:p w14:paraId="6666591C" w14:textId="77777777" w:rsidR="00F97400" w:rsidRPr="00AE36F0" w:rsidRDefault="00F97400" w:rsidP="00F97400">
      <w:pPr>
        <w:jc w:val="both"/>
        <w:rPr>
          <w:rFonts w:ascii="Montserrat" w:hAnsi="Montserrat"/>
          <w:b/>
        </w:rPr>
      </w:pPr>
      <w:r w:rsidRPr="00AE36F0">
        <w:rPr>
          <w:rFonts w:ascii="Montserrat" w:hAnsi="Montserrat"/>
          <w:b/>
        </w:rPr>
        <w:t>Nota 19.- Variación de la Hacienda Pública/Patrimonio</w:t>
      </w:r>
    </w:p>
    <w:bookmarkEnd w:id="20"/>
    <w:p w14:paraId="7F7587E5" w14:textId="77777777" w:rsidR="00F97400" w:rsidRPr="00AE36F0" w:rsidRDefault="00F97400" w:rsidP="00F97400">
      <w:pPr>
        <w:pBdr>
          <w:top w:val="nil"/>
          <w:left w:val="nil"/>
          <w:bottom w:val="nil"/>
          <w:right w:val="nil"/>
          <w:between w:val="nil"/>
        </w:pBdr>
        <w:jc w:val="both"/>
        <w:rPr>
          <w:rFonts w:ascii="Montserrat" w:hAnsi="Montserrat"/>
        </w:rPr>
      </w:pPr>
    </w:p>
    <w:p w14:paraId="5AEB5EA4" w14:textId="77777777" w:rsidR="00F97400" w:rsidRPr="00AE36F0" w:rsidRDefault="00F97400" w:rsidP="00F97400">
      <w:pPr>
        <w:pBdr>
          <w:top w:val="nil"/>
          <w:left w:val="nil"/>
          <w:bottom w:val="nil"/>
          <w:right w:val="nil"/>
          <w:between w:val="nil"/>
        </w:pBdr>
        <w:jc w:val="both"/>
        <w:rPr>
          <w:rFonts w:ascii="Montserrat" w:hAnsi="Montserrat"/>
        </w:rPr>
      </w:pPr>
      <w:r w:rsidRPr="00AE36F0">
        <w:rPr>
          <w:rFonts w:ascii="Montserrat" w:hAnsi="Montserrat"/>
        </w:rPr>
        <w:t>Este Estado Consolidado muestra el monto de la Hacienda Pública/Patrimonio, con relación al Estado de Situación Financiera Consolidado del Poder Ejecutivo al cierre del periodo enero-diciembre de 2025 y 2024, se integra de la siguiente forma:</w:t>
      </w:r>
    </w:p>
    <w:p w14:paraId="316BC18C" w14:textId="77777777" w:rsidR="00F97400" w:rsidRPr="00AE36F0" w:rsidRDefault="00F97400" w:rsidP="00F97400">
      <w:pPr>
        <w:widowControl w:val="0"/>
        <w:jc w:val="center"/>
        <w:rPr>
          <w:rFonts w:ascii="Montserrat" w:hAnsi="Montserrat"/>
          <w:b/>
        </w:rPr>
      </w:pPr>
    </w:p>
    <w:p w14:paraId="0DECED6E" w14:textId="77777777" w:rsidR="00F97400" w:rsidRPr="00AE36F0" w:rsidRDefault="00F97400" w:rsidP="00F97400">
      <w:pPr>
        <w:widowControl w:val="0"/>
        <w:jc w:val="center"/>
        <w:rPr>
          <w:rFonts w:ascii="Montserrat" w:hAnsi="Montserrat"/>
          <w:b/>
        </w:rPr>
      </w:pPr>
      <w:r w:rsidRPr="00AE36F0">
        <w:rPr>
          <w:rFonts w:ascii="Montserrat" w:hAnsi="Montserrat"/>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F97400" w:rsidRPr="00AE36F0" w14:paraId="3214B2E1" w14:textId="77777777" w:rsidTr="004B75E1">
        <w:trPr>
          <w:trHeight w:val="292"/>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55D5912"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92EE5A5"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2025</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72CF08B" w14:textId="77777777" w:rsidR="00F97400" w:rsidRPr="00AE36F0" w:rsidRDefault="00F97400" w:rsidP="004B75E1">
            <w:pPr>
              <w:jc w:val="center"/>
              <w:rPr>
                <w:rFonts w:ascii="Montserrat" w:eastAsia="Times New Roman" w:hAnsi="Montserrat" w:cs="Arial"/>
                <w:b/>
                <w:bCs/>
                <w:lang w:val="es-MX"/>
              </w:rPr>
            </w:pPr>
            <w:r w:rsidRPr="00AE36F0">
              <w:rPr>
                <w:rFonts w:ascii="Montserrat" w:eastAsia="Times New Roman" w:hAnsi="Montserrat" w:cs="Arial"/>
                <w:b/>
                <w:bCs/>
                <w:lang w:val="es-MX"/>
              </w:rPr>
              <w:t>2024</w:t>
            </w:r>
          </w:p>
        </w:tc>
      </w:tr>
      <w:tr w:rsidR="00F97400" w:rsidRPr="00AE36F0" w14:paraId="6A2A7AE4" w14:textId="77777777" w:rsidTr="004B75E1">
        <w:trPr>
          <w:trHeight w:val="264"/>
        </w:trPr>
        <w:tc>
          <w:tcPr>
            <w:tcW w:w="4530" w:type="dxa"/>
            <w:tcBorders>
              <w:top w:val="nil"/>
              <w:left w:val="single" w:sz="8" w:space="0" w:color="auto"/>
              <w:bottom w:val="single" w:sz="4" w:space="0" w:color="auto"/>
              <w:right w:val="single" w:sz="8" w:space="0" w:color="auto"/>
            </w:tcBorders>
            <w:shd w:val="clear" w:color="000000" w:fill="FFFFFF"/>
            <w:vAlign w:val="center"/>
            <w:hideMark/>
          </w:tcPr>
          <w:p w14:paraId="5F1F25EC"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Hacienda Pública/Patrimonio Contribuido</w:t>
            </w:r>
          </w:p>
        </w:tc>
        <w:tc>
          <w:tcPr>
            <w:tcW w:w="2256" w:type="dxa"/>
            <w:tcBorders>
              <w:top w:val="nil"/>
              <w:left w:val="nil"/>
              <w:bottom w:val="single" w:sz="4" w:space="0" w:color="auto"/>
              <w:right w:val="single" w:sz="8" w:space="0" w:color="auto"/>
            </w:tcBorders>
            <w:shd w:val="clear" w:color="000000" w:fill="FFFFFF"/>
            <w:noWrap/>
            <w:vAlign w:val="center"/>
            <w:hideMark/>
          </w:tcPr>
          <w:p w14:paraId="48FEB3D0"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6,819,038,657</w:t>
            </w:r>
          </w:p>
        </w:tc>
        <w:tc>
          <w:tcPr>
            <w:tcW w:w="2238" w:type="dxa"/>
            <w:tcBorders>
              <w:top w:val="nil"/>
              <w:left w:val="nil"/>
              <w:bottom w:val="single" w:sz="4" w:space="0" w:color="auto"/>
              <w:right w:val="single" w:sz="8" w:space="0" w:color="auto"/>
            </w:tcBorders>
            <w:shd w:val="clear" w:color="000000" w:fill="FFFFFF"/>
            <w:noWrap/>
            <w:vAlign w:val="center"/>
            <w:hideMark/>
          </w:tcPr>
          <w:p w14:paraId="6E450DAC"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6,034,282,410</w:t>
            </w:r>
          </w:p>
        </w:tc>
      </w:tr>
      <w:tr w:rsidR="00F97400" w:rsidRPr="00AE36F0" w14:paraId="0F8295B8" w14:textId="77777777" w:rsidTr="004B75E1">
        <w:trPr>
          <w:trHeight w:val="278"/>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7AB95CF5" w14:textId="77777777" w:rsidR="00F97400" w:rsidRPr="00AE36F0" w:rsidRDefault="00F97400" w:rsidP="004B75E1">
            <w:pPr>
              <w:jc w:val="both"/>
              <w:rPr>
                <w:rFonts w:ascii="Montserrat" w:eastAsia="Times New Roman" w:hAnsi="Montserrat" w:cs="Arial"/>
                <w:color w:val="000000"/>
                <w:lang w:val="es-MX"/>
              </w:rPr>
            </w:pPr>
            <w:r w:rsidRPr="00AE36F0">
              <w:rPr>
                <w:rFonts w:ascii="Montserrat" w:eastAsia="Times New Roman" w:hAnsi="Montserrat" w:cs="Arial"/>
                <w:color w:val="000000"/>
                <w:lang w:val="es-MX"/>
              </w:rPr>
              <w:t>Hacienda Pública/Patrimonio Generado</w:t>
            </w:r>
          </w:p>
        </w:tc>
        <w:tc>
          <w:tcPr>
            <w:tcW w:w="2256" w:type="dxa"/>
            <w:tcBorders>
              <w:top w:val="nil"/>
              <w:left w:val="nil"/>
              <w:bottom w:val="single" w:sz="8" w:space="0" w:color="auto"/>
              <w:right w:val="single" w:sz="8" w:space="0" w:color="auto"/>
            </w:tcBorders>
            <w:shd w:val="clear" w:color="000000" w:fill="FFFFFF"/>
            <w:noWrap/>
            <w:vAlign w:val="center"/>
            <w:hideMark/>
          </w:tcPr>
          <w:p w14:paraId="343024EE"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8,899,767,139</w:t>
            </w:r>
          </w:p>
        </w:tc>
        <w:tc>
          <w:tcPr>
            <w:tcW w:w="2238" w:type="dxa"/>
            <w:tcBorders>
              <w:top w:val="nil"/>
              <w:left w:val="nil"/>
              <w:bottom w:val="single" w:sz="8" w:space="0" w:color="auto"/>
              <w:right w:val="single" w:sz="8" w:space="0" w:color="auto"/>
            </w:tcBorders>
            <w:shd w:val="clear" w:color="000000" w:fill="FFFFFF"/>
            <w:noWrap/>
            <w:vAlign w:val="center"/>
            <w:hideMark/>
          </w:tcPr>
          <w:p w14:paraId="3605971A" w14:textId="77777777" w:rsidR="00F97400" w:rsidRPr="00AE36F0" w:rsidRDefault="00F97400" w:rsidP="004B75E1">
            <w:pPr>
              <w:jc w:val="right"/>
              <w:rPr>
                <w:rFonts w:ascii="Montserrat" w:eastAsia="Times New Roman" w:hAnsi="Montserrat" w:cs="Arial"/>
                <w:color w:val="000000"/>
                <w:lang w:val="es-MX"/>
              </w:rPr>
            </w:pPr>
            <w:r w:rsidRPr="00AE36F0">
              <w:rPr>
                <w:rFonts w:ascii="Montserrat" w:hAnsi="Montserrat" w:cs="Arial"/>
                <w:color w:val="000000"/>
                <w:sz w:val="22"/>
                <w:szCs w:val="22"/>
              </w:rPr>
              <w:t>10,386,697,761</w:t>
            </w:r>
          </w:p>
        </w:tc>
      </w:tr>
      <w:tr w:rsidR="00F97400" w:rsidRPr="00AE36F0" w14:paraId="075451CA" w14:textId="77777777" w:rsidTr="004B75E1">
        <w:trPr>
          <w:trHeight w:val="292"/>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1FB65C15" w14:textId="77777777" w:rsidR="00F97400" w:rsidRPr="00AE36F0" w:rsidRDefault="00F97400" w:rsidP="004B75E1">
            <w:pPr>
              <w:rPr>
                <w:rFonts w:ascii="Montserrat" w:eastAsia="Times New Roman" w:hAnsi="Montserrat" w:cs="Arial"/>
                <w:b/>
                <w:bCs/>
                <w:color w:val="000000"/>
                <w:lang w:val="es-MX"/>
              </w:rPr>
            </w:pPr>
            <w:proofErr w:type="gramStart"/>
            <w:r w:rsidRPr="00AE36F0">
              <w:rPr>
                <w:rFonts w:ascii="Montserrat" w:eastAsia="Times New Roman" w:hAnsi="Montserrat" w:cs="Arial"/>
                <w:b/>
                <w:bCs/>
                <w:color w:val="000000"/>
                <w:lang w:val="es-MX"/>
              </w:rPr>
              <w:t>Total</w:t>
            </w:r>
            <w:proofErr w:type="gramEnd"/>
            <w:r w:rsidRPr="00AE36F0">
              <w:rPr>
                <w:rFonts w:ascii="Montserrat" w:eastAsia="Times New Roman" w:hAnsi="Montserrat" w:cs="Arial"/>
                <w:b/>
                <w:bCs/>
                <w:color w:val="000000"/>
                <w:lang w:val="es-MX"/>
              </w:rPr>
              <w:t xml:space="preserve"> de Fondos en Garantía a Largo Plazo</w:t>
            </w:r>
          </w:p>
        </w:tc>
        <w:tc>
          <w:tcPr>
            <w:tcW w:w="2256" w:type="dxa"/>
            <w:tcBorders>
              <w:top w:val="nil"/>
              <w:left w:val="nil"/>
              <w:bottom w:val="single" w:sz="8" w:space="0" w:color="auto"/>
              <w:right w:val="single" w:sz="8" w:space="0" w:color="auto"/>
            </w:tcBorders>
            <w:shd w:val="clear" w:color="000000" w:fill="FFFFFF"/>
            <w:noWrap/>
            <w:vAlign w:val="center"/>
            <w:hideMark/>
          </w:tcPr>
          <w:p w14:paraId="31F759DC"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15,718,805,796</w:t>
            </w:r>
          </w:p>
        </w:tc>
        <w:tc>
          <w:tcPr>
            <w:tcW w:w="2238" w:type="dxa"/>
            <w:tcBorders>
              <w:top w:val="nil"/>
              <w:left w:val="nil"/>
              <w:bottom w:val="single" w:sz="8" w:space="0" w:color="auto"/>
              <w:right w:val="single" w:sz="8" w:space="0" w:color="auto"/>
            </w:tcBorders>
            <w:shd w:val="clear" w:color="000000" w:fill="FFFFFF"/>
            <w:noWrap/>
            <w:vAlign w:val="center"/>
            <w:hideMark/>
          </w:tcPr>
          <w:p w14:paraId="793F2AA7" w14:textId="77777777" w:rsidR="00F97400" w:rsidRPr="00AE36F0" w:rsidRDefault="00F97400" w:rsidP="004B75E1">
            <w:pPr>
              <w:jc w:val="right"/>
              <w:rPr>
                <w:rFonts w:ascii="Montserrat" w:eastAsia="Times New Roman" w:hAnsi="Montserrat" w:cs="Arial"/>
                <w:b/>
                <w:bCs/>
                <w:color w:val="000000"/>
                <w:lang w:val="es-MX"/>
              </w:rPr>
            </w:pPr>
            <w:r w:rsidRPr="00AE36F0">
              <w:rPr>
                <w:rFonts w:ascii="Montserrat" w:hAnsi="Montserrat" w:cs="Arial"/>
                <w:b/>
                <w:bCs/>
                <w:color w:val="000000"/>
                <w:sz w:val="22"/>
                <w:szCs w:val="22"/>
              </w:rPr>
              <w:t>16,420,980,171</w:t>
            </w:r>
          </w:p>
        </w:tc>
      </w:tr>
    </w:tbl>
    <w:p w14:paraId="48D27572" w14:textId="77777777" w:rsidR="00F97400" w:rsidRPr="00AE36F0" w:rsidRDefault="00F97400" w:rsidP="00F97400">
      <w:pPr>
        <w:widowControl w:val="0"/>
        <w:jc w:val="both"/>
        <w:rPr>
          <w:rFonts w:ascii="Montserrat" w:hAnsi="Montserrat"/>
        </w:rPr>
      </w:pPr>
    </w:p>
    <w:p w14:paraId="4CF05FB2" w14:textId="77777777" w:rsidR="00F97400" w:rsidRPr="00AE36F0" w:rsidRDefault="00F97400" w:rsidP="00F97400">
      <w:pPr>
        <w:widowControl w:val="0"/>
        <w:jc w:val="both"/>
        <w:rPr>
          <w:rFonts w:ascii="Montserrat" w:hAnsi="Montserrat"/>
        </w:rPr>
      </w:pPr>
    </w:p>
    <w:p w14:paraId="3C93FBDE" w14:textId="77777777" w:rsidR="00F97400" w:rsidRPr="00AE36F0" w:rsidRDefault="00F97400" w:rsidP="00F97400">
      <w:pPr>
        <w:keepNext/>
        <w:rPr>
          <w:rFonts w:ascii="Montserrat" w:hAnsi="Montserrat"/>
          <w:b/>
        </w:rPr>
      </w:pPr>
      <w:bookmarkStart w:id="21" w:name="_Hlk157392194"/>
      <w:r w:rsidRPr="00AE36F0">
        <w:rPr>
          <w:rFonts w:ascii="Montserrat" w:hAnsi="Montserrat"/>
          <w:b/>
        </w:rPr>
        <w:lastRenderedPageBreak/>
        <w:t xml:space="preserve">NOTAS AL ESTADO DE FLUJOS DE EFECTIVO </w:t>
      </w:r>
    </w:p>
    <w:p w14:paraId="14324313" w14:textId="77777777" w:rsidR="00F97400" w:rsidRPr="00AE36F0" w:rsidRDefault="00F97400" w:rsidP="00F97400">
      <w:pPr>
        <w:keepNext/>
        <w:rPr>
          <w:rFonts w:ascii="Montserrat" w:hAnsi="Montserrat"/>
          <w:b/>
        </w:rPr>
      </w:pPr>
    </w:p>
    <w:p w14:paraId="6743F80E" w14:textId="77777777" w:rsidR="00F97400" w:rsidRPr="00AE36F0" w:rsidRDefault="00F97400" w:rsidP="00F97400">
      <w:pPr>
        <w:rPr>
          <w:rFonts w:ascii="Montserrat" w:hAnsi="Montserrat"/>
          <w:b/>
        </w:rPr>
      </w:pPr>
      <w:r w:rsidRPr="00AE36F0">
        <w:rPr>
          <w:rFonts w:ascii="Montserrat" w:hAnsi="Montserrat"/>
          <w:b/>
        </w:rPr>
        <w:t>Nota 20.- Estado de Flujos de Efectivo.</w:t>
      </w:r>
    </w:p>
    <w:p w14:paraId="35902E38" w14:textId="77777777" w:rsidR="00F97400" w:rsidRPr="00AE36F0" w:rsidRDefault="00F97400" w:rsidP="00F97400">
      <w:pPr>
        <w:widowControl w:val="0"/>
        <w:jc w:val="both"/>
        <w:rPr>
          <w:rFonts w:ascii="Montserrat" w:hAnsi="Montserrat"/>
        </w:rPr>
      </w:pPr>
    </w:p>
    <w:bookmarkEnd w:id="21"/>
    <w:p w14:paraId="7749DADB" w14:textId="77777777" w:rsidR="00F97400" w:rsidRPr="00AE36F0" w:rsidRDefault="00F97400" w:rsidP="00F97400">
      <w:pPr>
        <w:widowControl w:val="0"/>
        <w:jc w:val="both"/>
        <w:rPr>
          <w:rFonts w:ascii="Montserrat" w:hAnsi="Montserrat"/>
        </w:rPr>
      </w:pPr>
      <w:r w:rsidRPr="00AE36F0">
        <w:rPr>
          <w:rFonts w:ascii="Montserrat" w:hAnsi="Montserrat"/>
        </w:rPr>
        <w:t>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enero-diciembre de 2025 y 2024, mostrado de la siguiente manera:</w:t>
      </w:r>
    </w:p>
    <w:p w14:paraId="675DEC75" w14:textId="77777777" w:rsidR="00F97400" w:rsidRPr="00AE36F0" w:rsidRDefault="00F97400" w:rsidP="00F97400">
      <w:pPr>
        <w:widowControl w:val="0"/>
        <w:jc w:val="both"/>
        <w:rPr>
          <w:rFonts w:ascii="Montserrat" w:hAnsi="Montserrat"/>
        </w:rPr>
      </w:pPr>
    </w:p>
    <w:p w14:paraId="194529BC" w14:textId="77777777" w:rsidR="00F97400" w:rsidRPr="00AE36F0" w:rsidRDefault="00F97400" w:rsidP="00F97400">
      <w:pPr>
        <w:pBdr>
          <w:top w:val="nil"/>
          <w:left w:val="nil"/>
          <w:bottom w:val="nil"/>
          <w:right w:val="nil"/>
          <w:between w:val="nil"/>
        </w:pBdr>
        <w:jc w:val="center"/>
        <w:rPr>
          <w:rFonts w:ascii="Montserrat" w:hAnsi="Montserrat"/>
          <w:color w:val="000000"/>
        </w:rPr>
      </w:pPr>
      <w:bookmarkStart w:id="22" w:name="_Hlk157392310"/>
      <w:r w:rsidRPr="00AE36F0">
        <w:rPr>
          <w:rFonts w:ascii="Montserrat" w:hAnsi="Montserrat"/>
          <w:b/>
          <w:color w:val="000000"/>
        </w:rPr>
        <w:t>(Pesos)</w:t>
      </w:r>
    </w:p>
    <w:tbl>
      <w:tblPr>
        <w:tblW w:w="8930" w:type="dxa"/>
        <w:tblInd w:w="55" w:type="dxa"/>
        <w:tblCellMar>
          <w:left w:w="70" w:type="dxa"/>
          <w:right w:w="70" w:type="dxa"/>
        </w:tblCellMar>
        <w:tblLook w:val="04A0" w:firstRow="1" w:lastRow="0" w:firstColumn="1" w:lastColumn="0" w:noHBand="0" w:noVBand="1"/>
      </w:tblPr>
      <w:tblGrid>
        <w:gridCol w:w="4482"/>
        <w:gridCol w:w="2232"/>
        <w:gridCol w:w="2216"/>
      </w:tblGrid>
      <w:tr w:rsidR="00F97400" w:rsidRPr="00AE36F0" w14:paraId="09F7375A" w14:textId="77777777" w:rsidTr="004B75E1">
        <w:trPr>
          <w:trHeight w:val="332"/>
        </w:trPr>
        <w:tc>
          <w:tcPr>
            <w:tcW w:w="8930"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ED3FD"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Efectivo y Equivalentes</w:t>
            </w:r>
          </w:p>
        </w:tc>
      </w:tr>
      <w:tr w:rsidR="00F97400" w:rsidRPr="00AE36F0" w14:paraId="44477630" w14:textId="77777777" w:rsidTr="004B75E1">
        <w:trPr>
          <w:trHeight w:val="332"/>
        </w:trPr>
        <w:tc>
          <w:tcPr>
            <w:tcW w:w="448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133223"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Concepto</w:t>
            </w:r>
          </w:p>
        </w:tc>
        <w:tc>
          <w:tcPr>
            <w:tcW w:w="2232" w:type="dxa"/>
            <w:tcBorders>
              <w:top w:val="nil"/>
              <w:left w:val="nil"/>
              <w:bottom w:val="single" w:sz="8" w:space="0" w:color="auto"/>
              <w:right w:val="single" w:sz="8" w:space="0" w:color="auto"/>
            </w:tcBorders>
            <w:shd w:val="clear" w:color="auto" w:fill="D9D9D9" w:themeFill="background1" w:themeFillShade="D9"/>
            <w:vAlign w:val="center"/>
            <w:hideMark/>
          </w:tcPr>
          <w:p w14:paraId="37775CA1"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2025</w:t>
            </w:r>
          </w:p>
        </w:tc>
        <w:tc>
          <w:tcPr>
            <w:tcW w:w="2216" w:type="dxa"/>
            <w:tcBorders>
              <w:top w:val="nil"/>
              <w:left w:val="nil"/>
              <w:bottom w:val="single" w:sz="8" w:space="0" w:color="auto"/>
              <w:right w:val="single" w:sz="8" w:space="0" w:color="auto"/>
            </w:tcBorders>
            <w:shd w:val="clear" w:color="auto" w:fill="D9D9D9" w:themeFill="background1" w:themeFillShade="D9"/>
            <w:vAlign w:val="center"/>
            <w:hideMark/>
          </w:tcPr>
          <w:p w14:paraId="79296653" w14:textId="77777777" w:rsidR="00F97400" w:rsidRPr="00AE36F0" w:rsidRDefault="00F97400" w:rsidP="004B75E1">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2024</w:t>
            </w:r>
          </w:p>
        </w:tc>
      </w:tr>
      <w:tr w:rsidR="00F97400" w:rsidRPr="00AE36F0" w14:paraId="5786012D"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048DE8FB"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Efectivo</w:t>
            </w:r>
          </w:p>
        </w:tc>
        <w:tc>
          <w:tcPr>
            <w:tcW w:w="2232" w:type="dxa"/>
            <w:tcBorders>
              <w:top w:val="nil"/>
              <w:left w:val="nil"/>
              <w:bottom w:val="single" w:sz="8" w:space="0" w:color="auto"/>
              <w:right w:val="single" w:sz="8" w:space="0" w:color="auto"/>
            </w:tcBorders>
            <w:vAlign w:val="center"/>
            <w:hideMark/>
          </w:tcPr>
          <w:p w14:paraId="532F9AFB"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275,788</w:t>
            </w:r>
          </w:p>
        </w:tc>
        <w:tc>
          <w:tcPr>
            <w:tcW w:w="2216" w:type="dxa"/>
            <w:tcBorders>
              <w:top w:val="nil"/>
              <w:left w:val="nil"/>
              <w:bottom w:val="single" w:sz="8" w:space="0" w:color="auto"/>
              <w:right w:val="single" w:sz="8" w:space="0" w:color="auto"/>
            </w:tcBorders>
            <w:vAlign w:val="center"/>
            <w:hideMark/>
          </w:tcPr>
          <w:p w14:paraId="6459790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306,601</w:t>
            </w:r>
          </w:p>
        </w:tc>
      </w:tr>
      <w:tr w:rsidR="00F97400" w:rsidRPr="00AE36F0" w14:paraId="5AD28589"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4AE7F530"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Bancos/Tesorería</w:t>
            </w:r>
          </w:p>
        </w:tc>
        <w:tc>
          <w:tcPr>
            <w:tcW w:w="2232" w:type="dxa"/>
            <w:tcBorders>
              <w:top w:val="nil"/>
              <w:left w:val="nil"/>
              <w:bottom w:val="single" w:sz="8" w:space="0" w:color="auto"/>
              <w:right w:val="single" w:sz="8" w:space="0" w:color="auto"/>
            </w:tcBorders>
            <w:vAlign w:val="center"/>
            <w:hideMark/>
          </w:tcPr>
          <w:p w14:paraId="3FB6041C"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2,976,169,080</w:t>
            </w:r>
          </w:p>
        </w:tc>
        <w:tc>
          <w:tcPr>
            <w:tcW w:w="2216" w:type="dxa"/>
            <w:tcBorders>
              <w:top w:val="nil"/>
              <w:left w:val="nil"/>
              <w:bottom w:val="single" w:sz="8" w:space="0" w:color="auto"/>
              <w:right w:val="single" w:sz="8" w:space="0" w:color="auto"/>
            </w:tcBorders>
            <w:vAlign w:val="center"/>
            <w:hideMark/>
          </w:tcPr>
          <w:p w14:paraId="44C87F9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4,013,869,395</w:t>
            </w:r>
          </w:p>
        </w:tc>
      </w:tr>
      <w:tr w:rsidR="00F97400" w:rsidRPr="00AE36F0" w14:paraId="5BA11A58"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5959CAE2"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Bancos/Dependencias y Otros</w:t>
            </w:r>
          </w:p>
        </w:tc>
        <w:tc>
          <w:tcPr>
            <w:tcW w:w="2232" w:type="dxa"/>
            <w:tcBorders>
              <w:top w:val="nil"/>
              <w:left w:val="nil"/>
              <w:bottom w:val="single" w:sz="8" w:space="0" w:color="auto"/>
              <w:right w:val="single" w:sz="8" w:space="0" w:color="auto"/>
            </w:tcBorders>
            <w:vAlign w:val="center"/>
            <w:hideMark/>
          </w:tcPr>
          <w:p w14:paraId="64C9327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548,550,569</w:t>
            </w:r>
          </w:p>
        </w:tc>
        <w:tc>
          <w:tcPr>
            <w:tcW w:w="2216" w:type="dxa"/>
            <w:tcBorders>
              <w:top w:val="nil"/>
              <w:left w:val="nil"/>
              <w:bottom w:val="single" w:sz="8" w:space="0" w:color="auto"/>
              <w:right w:val="single" w:sz="8" w:space="0" w:color="auto"/>
            </w:tcBorders>
            <w:vAlign w:val="center"/>
            <w:hideMark/>
          </w:tcPr>
          <w:p w14:paraId="15A0F9F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308,758,891</w:t>
            </w:r>
          </w:p>
        </w:tc>
      </w:tr>
      <w:tr w:rsidR="00F97400" w:rsidRPr="00AE36F0" w14:paraId="2640D34A"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4E7C779C"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 xml:space="preserve">Inversiones Temporales (Hasta 3 meses) </w:t>
            </w:r>
          </w:p>
        </w:tc>
        <w:tc>
          <w:tcPr>
            <w:tcW w:w="2232" w:type="dxa"/>
            <w:tcBorders>
              <w:top w:val="nil"/>
              <w:left w:val="nil"/>
              <w:bottom w:val="single" w:sz="8" w:space="0" w:color="auto"/>
              <w:right w:val="single" w:sz="8" w:space="0" w:color="auto"/>
            </w:tcBorders>
            <w:vAlign w:val="center"/>
            <w:hideMark/>
          </w:tcPr>
          <w:p w14:paraId="18058D1E"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1,395,811,589</w:t>
            </w:r>
          </w:p>
        </w:tc>
        <w:tc>
          <w:tcPr>
            <w:tcW w:w="2216" w:type="dxa"/>
            <w:tcBorders>
              <w:top w:val="nil"/>
              <w:left w:val="nil"/>
              <w:bottom w:val="single" w:sz="8" w:space="0" w:color="auto"/>
              <w:right w:val="single" w:sz="8" w:space="0" w:color="auto"/>
            </w:tcBorders>
            <w:vAlign w:val="center"/>
            <w:hideMark/>
          </w:tcPr>
          <w:p w14:paraId="28036B87"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3,157,286,962</w:t>
            </w:r>
          </w:p>
        </w:tc>
      </w:tr>
      <w:tr w:rsidR="00F97400" w:rsidRPr="00AE36F0" w14:paraId="576D62B1"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1FF68F08"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Fondos con Afectación Específica</w:t>
            </w:r>
          </w:p>
        </w:tc>
        <w:tc>
          <w:tcPr>
            <w:tcW w:w="2232" w:type="dxa"/>
            <w:tcBorders>
              <w:top w:val="nil"/>
              <w:left w:val="nil"/>
              <w:bottom w:val="single" w:sz="8" w:space="0" w:color="auto"/>
              <w:right w:val="single" w:sz="8" w:space="0" w:color="auto"/>
            </w:tcBorders>
            <w:vAlign w:val="center"/>
            <w:hideMark/>
          </w:tcPr>
          <w:p w14:paraId="50D9F4E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c>
          <w:tcPr>
            <w:tcW w:w="2216" w:type="dxa"/>
            <w:tcBorders>
              <w:top w:val="nil"/>
              <w:left w:val="nil"/>
              <w:bottom w:val="single" w:sz="8" w:space="0" w:color="auto"/>
              <w:right w:val="single" w:sz="8" w:space="0" w:color="auto"/>
            </w:tcBorders>
            <w:vAlign w:val="center"/>
            <w:hideMark/>
          </w:tcPr>
          <w:p w14:paraId="549446CF"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0C625B81" w14:textId="77777777" w:rsidTr="004B75E1">
        <w:trPr>
          <w:trHeight w:val="648"/>
        </w:trPr>
        <w:tc>
          <w:tcPr>
            <w:tcW w:w="4482" w:type="dxa"/>
            <w:tcBorders>
              <w:top w:val="nil"/>
              <w:left w:val="single" w:sz="8" w:space="0" w:color="auto"/>
              <w:bottom w:val="single" w:sz="8" w:space="0" w:color="auto"/>
              <w:right w:val="single" w:sz="8" w:space="0" w:color="auto"/>
            </w:tcBorders>
            <w:vAlign w:val="center"/>
            <w:hideMark/>
          </w:tcPr>
          <w:p w14:paraId="1A7004EF"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Depósitos de Fondos de Terceros en Garantía y/o Administración</w:t>
            </w:r>
          </w:p>
        </w:tc>
        <w:tc>
          <w:tcPr>
            <w:tcW w:w="2232" w:type="dxa"/>
            <w:tcBorders>
              <w:top w:val="nil"/>
              <w:left w:val="nil"/>
              <w:bottom w:val="single" w:sz="8" w:space="0" w:color="auto"/>
              <w:right w:val="single" w:sz="8" w:space="0" w:color="auto"/>
            </w:tcBorders>
            <w:vAlign w:val="center"/>
            <w:hideMark/>
          </w:tcPr>
          <w:p w14:paraId="5679F620"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c>
          <w:tcPr>
            <w:tcW w:w="2216" w:type="dxa"/>
            <w:tcBorders>
              <w:top w:val="nil"/>
              <w:left w:val="nil"/>
              <w:bottom w:val="single" w:sz="8" w:space="0" w:color="auto"/>
              <w:right w:val="single" w:sz="8" w:space="0" w:color="auto"/>
            </w:tcBorders>
            <w:vAlign w:val="center"/>
            <w:hideMark/>
          </w:tcPr>
          <w:p w14:paraId="1FE41766"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2222135D"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345D273A" w14:textId="77777777" w:rsidR="00F97400" w:rsidRPr="00AE36F0" w:rsidRDefault="00F97400" w:rsidP="004B75E1">
            <w:pPr>
              <w:rPr>
                <w:rFonts w:ascii="Montserrat" w:eastAsia="Times New Roman" w:hAnsi="Montserrat" w:cs="Times New Roman"/>
                <w:color w:val="000000"/>
                <w:lang w:val="es-MX"/>
              </w:rPr>
            </w:pPr>
            <w:r w:rsidRPr="00AE36F0">
              <w:rPr>
                <w:rFonts w:ascii="Montserrat" w:eastAsia="Times New Roman" w:hAnsi="Montserrat" w:cs="Times New Roman"/>
                <w:color w:val="000000"/>
                <w:lang w:val="es-MX"/>
              </w:rPr>
              <w:t>Otros Efectivos y Equivalentes</w:t>
            </w:r>
          </w:p>
        </w:tc>
        <w:tc>
          <w:tcPr>
            <w:tcW w:w="2232" w:type="dxa"/>
            <w:tcBorders>
              <w:top w:val="nil"/>
              <w:left w:val="nil"/>
              <w:bottom w:val="single" w:sz="8" w:space="0" w:color="auto"/>
              <w:right w:val="single" w:sz="8" w:space="0" w:color="auto"/>
            </w:tcBorders>
            <w:vAlign w:val="center"/>
            <w:hideMark/>
          </w:tcPr>
          <w:p w14:paraId="74B69ADB"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c>
          <w:tcPr>
            <w:tcW w:w="2216" w:type="dxa"/>
            <w:tcBorders>
              <w:top w:val="nil"/>
              <w:left w:val="nil"/>
              <w:bottom w:val="single" w:sz="8" w:space="0" w:color="auto"/>
              <w:right w:val="single" w:sz="8" w:space="0" w:color="auto"/>
            </w:tcBorders>
            <w:vAlign w:val="center"/>
            <w:hideMark/>
          </w:tcPr>
          <w:p w14:paraId="1C5FCC01" w14:textId="77777777" w:rsidR="00F97400" w:rsidRPr="00AE36F0" w:rsidRDefault="00F97400" w:rsidP="004B75E1">
            <w:pPr>
              <w:jc w:val="right"/>
              <w:rPr>
                <w:rFonts w:ascii="Montserrat" w:eastAsia="Times New Roman" w:hAnsi="Montserrat" w:cs="Times New Roman"/>
                <w:color w:val="000000"/>
                <w:lang w:val="es-MX"/>
              </w:rPr>
            </w:pPr>
            <w:r w:rsidRPr="00AE36F0">
              <w:rPr>
                <w:rFonts w:ascii="Montserrat" w:hAnsi="Montserrat"/>
                <w:color w:val="000000"/>
              </w:rPr>
              <w:t>0</w:t>
            </w:r>
          </w:p>
        </w:tc>
      </w:tr>
      <w:tr w:rsidR="00F97400" w:rsidRPr="00AE36F0" w14:paraId="29E2FB9C"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104D97D3" w14:textId="77777777" w:rsidR="00F97400" w:rsidRPr="00AE36F0" w:rsidRDefault="00F97400" w:rsidP="004B75E1">
            <w:pPr>
              <w:rPr>
                <w:rFonts w:ascii="Montserrat" w:eastAsia="Times New Roman" w:hAnsi="Montserrat" w:cs="Times New Roman"/>
                <w:lang w:val="es-MX"/>
              </w:rPr>
            </w:pPr>
            <w:proofErr w:type="gramStart"/>
            <w:r w:rsidRPr="00AE36F0">
              <w:rPr>
                <w:rFonts w:ascii="Montserrat" w:eastAsia="Times New Roman" w:hAnsi="Montserrat" w:cs="Times New Roman"/>
                <w:b/>
                <w:bCs/>
                <w:lang w:val="es-MX"/>
              </w:rPr>
              <w:t>Total</w:t>
            </w:r>
            <w:proofErr w:type="gramEnd"/>
            <w:r w:rsidRPr="00AE36F0">
              <w:rPr>
                <w:rFonts w:ascii="Montserrat" w:eastAsia="Times New Roman" w:hAnsi="Montserrat" w:cs="Times New Roman"/>
                <w:b/>
                <w:bCs/>
                <w:lang w:val="es-MX"/>
              </w:rPr>
              <w:t xml:space="preserve"> de Efectivo y Equivalentes </w:t>
            </w:r>
          </w:p>
        </w:tc>
        <w:tc>
          <w:tcPr>
            <w:tcW w:w="2232" w:type="dxa"/>
            <w:tcBorders>
              <w:top w:val="nil"/>
              <w:left w:val="nil"/>
              <w:bottom w:val="single" w:sz="8" w:space="0" w:color="auto"/>
              <w:right w:val="single" w:sz="8" w:space="0" w:color="auto"/>
            </w:tcBorders>
            <w:vAlign w:val="center"/>
            <w:hideMark/>
          </w:tcPr>
          <w:p w14:paraId="0BC6469B" w14:textId="77777777" w:rsidR="00F97400" w:rsidRPr="00AE36F0" w:rsidRDefault="00F97400" w:rsidP="004B75E1">
            <w:pPr>
              <w:jc w:val="right"/>
              <w:rPr>
                <w:rFonts w:ascii="Montserrat" w:eastAsia="Times New Roman" w:hAnsi="Montserrat" w:cs="Arial"/>
                <w:b/>
                <w:bCs/>
                <w:color w:val="000000" w:themeColor="text1"/>
                <w:lang w:val="es-MX"/>
              </w:rPr>
            </w:pPr>
            <w:r w:rsidRPr="00AE36F0">
              <w:rPr>
                <w:rFonts w:ascii="Montserrat" w:hAnsi="Montserrat" w:cs="Arial"/>
                <w:b/>
                <w:bCs/>
                <w:color w:val="000000" w:themeColor="text1"/>
                <w:sz w:val="22"/>
                <w:szCs w:val="22"/>
              </w:rPr>
              <w:t>4,920,807,026</w:t>
            </w:r>
          </w:p>
        </w:tc>
        <w:tc>
          <w:tcPr>
            <w:tcW w:w="2216" w:type="dxa"/>
            <w:tcBorders>
              <w:top w:val="nil"/>
              <w:left w:val="nil"/>
              <w:bottom w:val="single" w:sz="8" w:space="0" w:color="auto"/>
              <w:right w:val="single" w:sz="8" w:space="0" w:color="auto"/>
            </w:tcBorders>
            <w:vAlign w:val="center"/>
            <w:hideMark/>
          </w:tcPr>
          <w:p w14:paraId="508F70B0" w14:textId="77777777" w:rsidR="00F97400" w:rsidRPr="00AE36F0" w:rsidRDefault="00F97400" w:rsidP="004B75E1">
            <w:pPr>
              <w:jc w:val="right"/>
              <w:rPr>
                <w:rFonts w:ascii="Montserrat" w:eastAsia="Times New Roman" w:hAnsi="Montserrat" w:cs="Arial"/>
                <w:b/>
                <w:bCs/>
                <w:color w:val="000000" w:themeColor="text1"/>
                <w:lang w:val="es-MX"/>
              </w:rPr>
            </w:pPr>
            <w:r w:rsidRPr="00AE36F0">
              <w:rPr>
                <w:rFonts w:ascii="Montserrat" w:hAnsi="Montserrat" w:cs="Arial"/>
                <w:b/>
                <w:bCs/>
                <w:color w:val="000000" w:themeColor="text1"/>
                <w:sz w:val="22"/>
                <w:szCs w:val="22"/>
              </w:rPr>
              <w:t>7,480,221,848</w:t>
            </w:r>
          </w:p>
        </w:tc>
      </w:tr>
    </w:tbl>
    <w:p w14:paraId="03DB6A30" w14:textId="77777777" w:rsidR="00F97400" w:rsidRPr="00AE36F0" w:rsidRDefault="00F97400" w:rsidP="00F97400">
      <w:pPr>
        <w:rPr>
          <w:rFonts w:ascii="Montserrat" w:hAnsi="Montserrat"/>
          <w:b/>
        </w:rPr>
      </w:pPr>
    </w:p>
    <w:bookmarkEnd w:id="22"/>
    <w:p w14:paraId="0E42ADAC" w14:textId="77777777" w:rsidR="00AE36F0" w:rsidRPr="00AE36F0" w:rsidRDefault="00AE36F0" w:rsidP="009A021D">
      <w:pPr>
        <w:jc w:val="center"/>
        <w:rPr>
          <w:rFonts w:ascii="Montserrat" w:hAnsi="Montserrat"/>
          <w:b/>
        </w:rPr>
      </w:pPr>
    </w:p>
    <w:p w14:paraId="49BD2CB9" w14:textId="5FE824CC" w:rsidR="009A021D" w:rsidRPr="00AE36F0" w:rsidRDefault="009A021D" w:rsidP="009A021D">
      <w:pPr>
        <w:jc w:val="center"/>
        <w:rPr>
          <w:rFonts w:ascii="Montserrat" w:hAnsi="Montserrat"/>
          <w:b/>
        </w:rPr>
      </w:pPr>
      <w:r w:rsidRPr="00AE36F0">
        <w:rPr>
          <w:rFonts w:ascii="Montserrat" w:hAnsi="Montserrat"/>
          <w:b/>
        </w:rPr>
        <w:t>NOTAS DE MEMORIA</w:t>
      </w:r>
    </w:p>
    <w:p w14:paraId="7969A17A" w14:textId="77777777" w:rsidR="009A021D" w:rsidRDefault="009A021D" w:rsidP="009A021D">
      <w:pPr>
        <w:rPr>
          <w:rFonts w:ascii="Montserrat" w:hAnsi="Montserrat"/>
          <w:bCs/>
          <w:lang w:val="es-MX"/>
        </w:rPr>
      </w:pPr>
    </w:p>
    <w:p w14:paraId="05EF7A67" w14:textId="77777777" w:rsidR="009A021D" w:rsidRPr="00AE36F0" w:rsidRDefault="009A021D" w:rsidP="009A021D">
      <w:pPr>
        <w:jc w:val="both"/>
        <w:rPr>
          <w:rFonts w:ascii="Montserrat" w:eastAsia="Times New Roman" w:hAnsi="Montserrat" w:cs="Arial"/>
        </w:rPr>
      </w:pPr>
      <w:r w:rsidRPr="00AE36F0">
        <w:rPr>
          <w:rFonts w:ascii="Montserrat" w:eastAsia="Times New Roman" w:hAnsi="Mont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62BA9F32" w14:textId="77777777" w:rsidR="002E1CFA" w:rsidRDefault="002E1CFA" w:rsidP="009A021D">
      <w:pPr>
        <w:jc w:val="both"/>
        <w:rPr>
          <w:rFonts w:ascii="Montserrat" w:eastAsia="Times New Roman" w:hAnsi="Montserrat" w:cs="Arial"/>
        </w:rPr>
      </w:pPr>
    </w:p>
    <w:tbl>
      <w:tblPr>
        <w:tblW w:w="9256" w:type="dxa"/>
        <w:tblInd w:w="70" w:type="dxa"/>
        <w:tblCellMar>
          <w:left w:w="70" w:type="dxa"/>
          <w:right w:w="70" w:type="dxa"/>
        </w:tblCellMar>
        <w:tblLook w:val="04A0" w:firstRow="1" w:lastRow="0" w:firstColumn="1" w:lastColumn="0" w:noHBand="0" w:noVBand="1"/>
      </w:tblPr>
      <w:tblGrid>
        <w:gridCol w:w="1418"/>
        <w:gridCol w:w="5453"/>
        <w:gridCol w:w="2385"/>
      </w:tblGrid>
      <w:tr w:rsidR="00FD2DE6" w:rsidRPr="00AE36F0" w14:paraId="75CDC878" w14:textId="77777777" w:rsidTr="0019069C">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E1EE045" w14:textId="6B10A5F0" w:rsidR="009A021D" w:rsidRPr="00AE36F0" w:rsidRDefault="007D7821" w:rsidP="009A021D">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Cuenta</w:t>
            </w:r>
          </w:p>
        </w:tc>
        <w:tc>
          <w:tcPr>
            <w:tcW w:w="545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8E7E1A" w14:textId="30928E34" w:rsidR="009A021D" w:rsidRPr="00AE36F0" w:rsidRDefault="007D7821" w:rsidP="009A021D">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Descripción</w:t>
            </w:r>
          </w:p>
        </w:tc>
        <w:tc>
          <w:tcPr>
            <w:tcW w:w="23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886669" w14:textId="48B73750" w:rsidR="009A021D" w:rsidRPr="00AE36F0" w:rsidRDefault="007D7821" w:rsidP="009A021D">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Debe</w:t>
            </w:r>
          </w:p>
        </w:tc>
      </w:tr>
      <w:tr w:rsidR="00FD2DE6" w:rsidRPr="00AE36F0" w14:paraId="388D324D" w14:textId="77777777" w:rsidTr="0019069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7290AD62" w14:textId="509C9A44" w:rsidR="009A021D" w:rsidRPr="00AE36F0" w:rsidRDefault="005843C6" w:rsidP="007D04CB">
            <w:pPr>
              <w:rPr>
                <w:rFonts w:ascii="Montserrat" w:hAnsi="Montserrat" w:cs="Calibri"/>
                <w:bCs/>
              </w:rPr>
            </w:pPr>
            <w:r w:rsidRPr="00AE36F0">
              <w:rPr>
                <w:rFonts w:ascii="Montserrat" w:hAnsi="Montserrat" w:cs="Calibri"/>
                <w:bCs/>
              </w:rPr>
              <w:t>7.4.1.0</w:t>
            </w:r>
          </w:p>
        </w:tc>
        <w:tc>
          <w:tcPr>
            <w:tcW w:w="5453" w:type="dxa"/>
            <w:tcBorders>
              <w:top w:val="single" w:sz="4" w:space="0" w:color="auto"/>
              <w:left w:val="nil"/>
              <w:bottom w:val="single" w:sz="4" w:space="0" w:color="auto"/>
              <w:right w:val="single" w:sz="4" w:space="0" w:color="auto"/>
            </w:tcBorders>
            <w:vAlign w:val="center"/>
          </w:tcPr>
          <w:p w14:paraId="33588A4E" w14:textId="36250C69" w:rsidR="009A021D" w:rsidRPr="00AE36F0" w:rsidRDefault="005843C6" w:rsidP="009A021D">
            <w:pPr>
              <w:rPr>
                <w:rFonts w:ascii="Montserrat" w:hAnsi="Montserrat"/>
                <w:bCs/>
                <w:lang w:val="es-MX"/>
              </w:rPr>
            </w:pPr>
            <w:r w:rsidRPr="00AE36F0">
              <w:rPr>
                <w:rFonts w:ascii="Montserrat" w:hAnsi="Montserrat"/>
                <w:bCs/>
                <w:lang w:val="es-MX"/>
              </w:rPr>
              <w:t>Demandas Judiciales en Proceso de Resolución</w:t>
            </w:r>
          </w:p>
        </w:tc>
        <w:tc>
          <w:tcPr>
            <w:tcW w:w="2385" w:type="dxa"/>
            <w:tcBorders>
              <w:top w:val="single" w:sz="4" w:space="0" w:color="auto"/>
              <w:left w:val="nil"/>
              <w:bottom w:val="single" w:sz="4" w:space="0" w:color="auto"/>
              <w:right w:val="single" w:sz="4" w:space="0" w:color="auto"/>
            </w:tcBorders>
            <w:vAlign w:val="center"/>
          </w:tcPr>
          <w:p w14:paraId="66BE95FF" w14:textId="4B4AF59C" w:rsidR="009A021D" w:rsidRPr="00AE36F0" w:rsidRDefault="009C1C7C" w:rsidP="00A11567">
            <w:pPr>
              <w:jc w:val="right"/>
              <w:rPr>
                <w:rFonts w:ascii="Montserrat" w:hAnsi="Montserrat"/>
                <w:bCs/>
                <w:lang w:val="es-MX"/>
              </w:rPr>
            </w:pPr>
            <w:r w:rsidRPr="00AE36F0">
              <w:rPr>
                <w:rFonts w:ascii="Montserrat" w:hAnsi="Montserrat"/>
                <w:bCs/>
                <w:lang w:val="es-MX"/>
              </w:rPr>
              <w:t>2,417,023.36</w:t>
            </w:r>
          </w:p>
        </w:tc>
      </w:tr>
      <w:tr w:rsidR="001B23EE" w:rsidRPr="00AE36F0" w14:paraId="7274DC3F" w14:textId="77777777" w:rsidTr="0019069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22938FFD" w14:textId="7F08B99B" w:rsidR="001B23EE" w:rsidRPr="00AE36F0" w:rsidRDefault="001B23EE" w:rsidP="007D04CB">
            <w:pPr>
              <w:rPr>
                <w:rFonts w:ascii="Montserrat" w:hAnsi="Montserrat" w:cs="Calibri"/>
                <w:bCs/>
              </w:rPr>
            </w:pPr>
            <w:r w:rsidRPr="00AE36F0">
              <w:rPr>
                <w:rFonts w:ascii="Montserrat" w:hAnsi="Montserrat" w:cs="Calibri"/>
                <w:bCs/>
              </w:rPr>
              <w:t>7.7.2.3</w:t>
            </w:r>
          </w:p>
        </w:tc>
        <w:tc>
          <w:tcPr>
            <w:tcW w:w="5453" w:type="dxa"/>
            <w:tcBorders>
              <w:top w:val="single" w:sz="4" w:space="0" w:color="auto"/>
              <w:left w:val="nil"/>
              <w:bottom w:val="single" w:sz="4" w:space="0" w:color="auto"/>
              <w:right w:val="single" w:sz="4" w:space="0" w:color="auto"/>
            </w:tcBorders>
            <w:vAlign w:val="center"/>
          </w:tcPr>
          <w:p w14:paraId="1207B4F4" w14:textId="0CC57549" w:rsidR="001B23EE" w:rsidRPr="00AE36F0" w:rsidRDefault="001B23EE" w:rsidP="001B23EE">
            <w:pPr>
              <w:rPr>
                <w:rFonts w:ascii="Montserrat" w:hAnsi="Montserrat"/>
                <w:bCs/>
                <w:lang w:val="es-MX"/>
              </w:rPr>
            </w:pPr>
            <w:r w:rsidRPr="00AE36F0">
              <w:rPr>
                <w:rFonts w:ascii="Montserrat" w:hAnsi="Montserrat"/>
                <w:bCs/>
                <w:lang w:val="es-MX"/>
              </w:rPr>
              <w:t>Deuda Pública Municipal</w:t>
            </w:r>
          </w:p>
        </w:tc>
        <w:tc>
          <w:tcPr>
            <w:tcW w:w="2385" w:type="dxa"/>
            <w:tcBorders>
              <w:top w:val="single" w:sz="4" w:space="0" w:color="auto"/>
              <w:left w:val="nil"/>
              <w:bottom w:val="single" w:sz="4" w:space="0" w:color="auto"/>
              <w:right w:val="single" w:sz="4" w:space="0" w:color="auto"/>
            </w:tcBorders>
            <w:vAlign w:val="center"/>
          </w:tcPr>
          <w:p w14:paraId="4CB5B886" w14:textId="364C15D7" w:rsidR="004D6417" w:rsidRPr="00AE36F0" w:rsidRDefault="009C1C7C" w:rsidP="004D6417">
            <w:pPr>
              <w:jc w:val="right"/>
              <w:rPr>
                <w:rFonts w:ascii="Montserrat" w:hAnsi="Montserrat" w:cs="Calibri"/>
                <w:color w:val="000000"/>
              </w:rPr>
            </w:pPr>
            <w:r w:rsidRPr="00AE36F0">
              <w:rPr>
                <w:rFonts w:ascii="Montserrat" w:hAnsi="Montserrat"/>
                <w:bCs/>
                <w:lang w:val="es-MX"/>
              </w:rPr>
              <w:t>162,961,446.80</w:t>
            </w:r>
          </w:p>
        </w:tc>
      </w:tr>
      <w:tr w:rsidR="00FD2DE6" w:rsidRPr="00AE36F0" w14:paraId="3FAB0A5C" w14:textId="77777777" w:rsidTr="0019069C">
        <w:trPr>
          <w:trHeight w:val="392"/>
        </w:trPr>
        <w:tc>
          <w:tcPr>
            <w:tcW w:w="1418" w:type="dxa"/>
            <w:tcBorders>
              <w:top w:val="single" w:sz="4" w:space="0" w:color="auto"/>
              <w:left w:val="single" w:sz="4" w:space="0" w:color="auto"/>
              <w:bottom w:val="single" w:sz="4" w:space="0" w:color="auto"/>
              <w:right w:val="single" w:sz="4" w:space="0" w:color="auto"/>
            </w:tcBorders>
            <w:vAlign w:val="center"/>
            <w:hideMark/>
          </w:tcPr>
          <w:p w14:paraId="1BCF8592" w14:textId="77777777" w:rsidR="009A021D" w:rsidRPr="00AE36F0" w:rsidRDefault="009A021D" w:rsidP="007D04CB">
            <w:pPr>
              <w:rPr>
                <w:rFonts w:ascii="Montserrat" w:hAnsi="Montserrat" w:cs="Calibri"/>
                <w:bCs/>
              </w:rPr>
            </w:pPr>
            <w:r w:rsidRPr="00AE36F0">
              <w:rPr>
                <w:rFonts w:ascii="Montserrat" w:hAnsi="Montserrat" w:cs="Calibri"/>
                <w:bCs/>
              </w:rPr>
              <w:t>7.7.4.1</w:t>
            </w:r>
          </w:p>
        </w:tc>
        <w:tc>
          <w:tcPr>
            <w:tcW w:w="5453" w:type="dxa"/>
            <w:tcBorders>
              <w:top w:val="single" w:sz="4" w:space="0" w:color="auto"/>
              <w:left w:val="nil"/>
              <w:bottom w:val="single" w:sz="4" w:space="0" w:color="auto"/>
              <w:right w:val="single" w:sz="4" w:space="0" w:color="auto"/>
            </w:tcBorders>
            <w:vAlign w:val="center"/>
            <w:hideMark/>
          </w:tcPr>
          <w:p w14:paraId="03440477" w14:textId="77777777" w:rsidR="009A021D" w:rsidRPr="00AE36F0" w:rsidRDefault="009A021D" w:rsidP="009A021D">
            <w:pPr>
              <w:rPr>
                <w:rFonts w:ascii="Montserrat" w:hAnsi="Montserrat"/>
                <w:bCs/>
                <w:lang w:val="es-MX"/>
              </w:rPr>
            </w:pPr>
            <w:r w:rsidRPr="00AE36F0">
              <w:rPr>
                <w:rFonts w:ascii="Montserrat" w:hAnsi="Montserrat"/>
                <w:bCs/>
                <w:lang w:val="es-MX"/>
              </w:rPr>
              <w:t>Créditos fiscales por recuperar estatal y federal</w:t>
            </w:r>
          </w:p>
        </w:tc>
        <w:tc>
          <w:tcPr>
            <w:tcW w:w="2385" w:type="dxa"/>
            <w:tcBorders>
              <w:top w:val="single" w:sz="4" w:space="0" w:color="auto"/>
              <w:left w:val="nil"/>
              <w:bottom w:val="single" w:sz="4" w:space="0" w:color="auto"/>
              <w:right w:val="single" w:sz="4" w:space="0" w:color="auto"/>
            </w:tcBorders>
            <w:vAlign w:val="center"/>
            <w:hideMark/>
          </w:tcPr>
          <w:p w14:paraId="636BF536" w14:textId="1CD4D430" w:rsidR="009A021D" w:rsidRPr="00AE36F0" w:rsidRDefault="009C1C7C" w:rsidP="004D6417">
            <w:pPr>
              <w:jc w:val="right"/>
              <w:rPr>
                <w:rFonts w:ascii="Montserrat" w:hAnsi="Montserrat"/>
                <w:bCs/>
                <w:lang w:val="es-MX"/>
              </w:rPr>
            </w:pPr>
            <w:r w:rsidRPr="00AE36F0">
              <w:rPr>
                <w:rFonts w:ascii="Montserrat" w:hAnsi="Montserrat"/>
                <w:bCs/>
                <w:lang w:val="es-MX"/>
              </w:rPr>
              <w:t>17,252,765,925.50</w:t>
            </w:r>
          </w:p>
        </w:tc>
      </w:tr>
      <w:tr w:rsidR="00A11567" w:rsidRPr="00AE36F0" w14:paraId="4E4AEED5" w14:textId="77777777" w:rsidTr="0019069C">
        <w:trPr>
          <w:trHeight w:val="392"/>
        </w:trPr>
        <w:tc>
          <w:tcPr>
            <w:tcW w:w="1418" w:type="dxa"/>
            <w:tcBorders>
              <w:top w:val="single" w:sz="4" w:space="0" w:color="auto"/>
              <w:left w:val="single" w:sz="4" w:space="0" w:color="auto"/>
              <w:bottom w:val="single" w:sz="4" w:space="0" w:color="auto"/>
              <w:right w:val="single" w:sz="4" w:space="0" w:color="auto"/>
            </w:tcBorders>
            <w:vAlign w:val="center"/>
          </w:tcPr>
          <w:p w14:paraId="288A3D42" w14:textId="4853A416" w:rsidR="00A11567" w:rsidRPr="00AE36F0" w:rsidRDefault="00A11567" w:rsidP="007D04CB">
            <w:pPr>
              <w:rPr>
                <w:rFonts w:ascii="Montserrat" w:hAnsi="Montserrat" w:cs="Calibri"/>
                <w:bCs/>
              </w:rPr>
            </w:pPr>
            <w:r w:rsidRPr="00AE36F0">
              <w:rPr>
                <w:rFonts w:ascii="Montserrat" w:hAnsi="Montserrat" w:cs="Calibri"/>
                <w:bCs/>
              </w:rPr>
              <w:t>7.7.</w:t>
            </w:r>
            <w:r w:rsidR="001B23EE" w:rsidRPr="00AE36F0">
              <w:rPr>
                <w:rFonts w:ascii="Montserrat" w:hAnsi="Montserrat" w:cs="Calibri"/>
                <w:bCs/>
              </w:rPr>
              <w:t>4.3</w:t>
            </w:r>
          </w:p>
        </w:tc>
        <w:tc>
          <w:tcPr>
            <w:tcW w:w="5453" w:type="dxa"/>
            <w:tcBorders>
              <w:top w:val="single" w:sz="4" w:space="0" w:color="auto"/>
              <w:left w:val="nil"/>
              <w:bottom w:val="single" w:sz="4" w:space="0" w:color="auto"/>
              <w:right w:val="single" w:sz="4" w:space="0" w:color="auto"/>
            </w:tcBorders>
            <w:vAlign w:val="center"/>
          </w:tcPr>
          <w:p w14:paraId="5A5CC971" w14:textId="68055AE4" w:rsidR="00A11567" w:rsidRPr="00AE36F0" w:rsidRDefault="00A11567" w:rsidP="009A021D">
            <w:pPr>
              <w:rPr>
                <w:rFonts w:ascii="Montserrat" w:hAnsi="Montserrat"/>
                <w:bCs/>
                <w:lang w:val="es-MX"/>
              </w:rPr>
            </w:pPr>
            <w:r w:rsidRPr="00AE36F0">
              <w:rPr>
                <w:rFonts w:ascii="Montserrat" w:hAnsi="Montserrat"/>
                <w:bCs/>
                <w:lang w:val="es-MX"/>
              </w:rPr>
              <w:t>Créditos no fiscales por recuperar</w:t>
            </w:r>
          </w:p>
        </w:tc>
        <w:tc>
          <w:tcPr>
            <w:tcW w:w="2385" w:type="dxa"/>
            <w:tcBorders>
              <w:top w:val="single" w:sz="4" w:space="0" w:color="auto"/>
              <w:left w:val="nil"/>
              <w:bottom w:val="single" w:sz="4" w:space="0" w:color="auto"/>
              <w:right w:val="single" w:sz="4" w:space="0" w:color="auto"/>
            </w:tcBorders>
            <w:vAlign w:val="center"/>
          </w:tcPr>
          <w:p w14:paraId="34A8E44B" w14:textId="294FED34" w:rsidR="00A11567" w:rsidRPr="00AE36F0" w:rsidRDefault="00EB2A73" w:rsidP="00A11567">
            <w:pPr>
              <w:jc w:val="right"/>
              <w:rPr>
                <w:rFonts w:ascii="Montserrat" w:hAnsi="Montserrat"/>
                <w:bCs/>
                <w:lang w:val="es-MX"/>
              </w:rPr>
            </w:pPr>
            <w:r w:rsidRPr="00AE36F0">
              <w:rPr>
                <w:rFonts w:ascii="Montserrat" w:hAnsi="Montserrat"/>
              </w:rPr>
              <w:t xml:space="preserve"> </w:t>
            </w:r>
            <w:r w:rsidRPr="00AE36F0">
              <w:rPr>
                <w:rFonts w:ascii="Montserrat" w:hAnsi="Montserrat"/>
                <w:bCs/>
                <w:lang w:val="es-MX"/>
              </w:rPr>
              <w:t>1,072,558,482.28</w:t>
            </w:r>
          </w:p>
        </w:tc>
      </w:tr>
      <w:tr w:rsidR="00FD2DE6" w:rsidRPr="00AE36F0" w14:paraId="1A81E02E" w14:textId="77777777" w:rsidTr="0019069C">
        <w:trPr>
          <w:trHeight w:val="202"/>
        </w:trPr>
        <w:tc>
          <w:tcPr>
            <w:tcW w:w="1418" w:type="dxa"/>
            <w:tcBorders>
              <w:top w:val="single" w:sz="4" w:space="0" w:color="auto"/>
              <w:left w:val="single" w:sz="4" w:space="0" w:color="auto"/>
              <w:bottom w:val="single" w:sz="4" w:space="0" w:color="auto"/>
              <w:right w:val="single" w:sz="4" w:space="0" w:color="auto"/>
            </w:tcBorders>
            <w:vAlign w:val="center"/>
            <w:hideMark/>
          </w:tcPr>
          <w:p w14:paraId="1FB951ED" w14:textId="77777777" w:rsidR="009A021D" w:rsidRPr="00AE36F0" w:rsidRDefault="009A021D" w:rsidP="007D04CB">
            <w:pPr>
              <w:rPr>
                <w:rFonts w:ascii="Montserrat" w:hAnsi="Montserrat" w:cs="Calibri"/>
                <w:bCs/>
              </w:rPr>
            </w:pPr>
            <w:r w:rsidRPr="00AE36F0">
              <w:rPr>
                <w:rFonts w:ascii="Montserrat" w:hAnsi="Montserrat" w:cs="Calibri"/>
                <w:bCs/>
              </w:rPr>
              <w:t>7.7.5.2</w:t>
            </w:r>
          </w:p>
        </w:tc>
        <w:tc>
          <w:tcPr>
            <w:tcW w:w="5453" w:type="dxa"/>
            <w:tcBorders>
              <w:top w:val="single" w:sz="4" w:space="0" w:color="auto"/>
              <w:left w:val="nil"/>
              <w:bottom w:val="single" w:sz="4" w:space="0" w:color="auto"/>
              <w:right w:val="single" w:sz="4" w:space="0" w:color="auto"/>
            </w:tcBorders>
            <w:vAlign w:val="center"/>
            <w:hideMark/>
          </w:tcPr>
          <w:p w14:paraId="2388B728" w14:textId="77777777" w:rsidR="009A021D" w:rsidRPr="00AE36F0" w:rsidRDefault="009A021D" w:rsidP="009A021D">
            <w:pPr>
              <w:rPr>
                <w:rFonts w:ascii="Montserrat" w:hAnsi="Montserrat"/>
                <w:bCs/>
                <w:lang w:val="es-MX"/>
              </w:rPr>
            </w:pPr>
            <w:r w:rsidRPr="00AE36F0">
              <w:rPr>
                <w:rFonts w:ascii="Montserrat" w:hAnsi="Montserrat"/>
                <w:bCs/>
                <w:lang w:val="es-MX"/>
              </w:rPr>
              <w:t>Otras obligaciones de pago</w:t>
            </w:r>
          </w:p>
        </w:tc>
        <w:tc>
          <w:tcPr>
            <w:tcW w:w="2385" w:type="dxa"/>
            <w:tcBorders>
              <w:top w:val="single" w:sz="4" w:space="0" w:color="auto"/>
              <w:left w:val="nil"/>
              <w:bottom w:val="single" w:sz="4" w:space="0" w:color="auto"/>
              <w:right w:val="single" w:sz="4" w:space="0" w:color="auto"/>
            </w:tcBorders>
            <w:vAlign w:val="center"/>
            <w:hideMark/>
          </w:tcPr>
          <w:p w14:paraId="4EE74D00" w14:textId="68536ACF" w:rsidR="009A021D" w:rsidRPr="00AE36F0" w:rsidRDefault="00EB2A73" w:rsidP="009A021D">
            <w:pPr>
              <w:jc w:val="right"/>
              <w:rPr>
                <w:rFonts w:ascii="Montserrat" w:hAnsi="Montserrat"/>
                <w:bCs/>
                <w:lang w:val="es-MX"/>
              </w:rPr>
            </w:pPr>
            <w:r w:rsidRPr="00AE36F0">
              <w:rPr>
                <w:rFonts w:ascii="Montserrat" w:hAnsi="Montserrat"/>
                <w:bCs/>
                <w:lang w:val="es-MX"/>
              </w:rPr>
              <w:t>1,534,235,126.00</w:t>
            </w:r>
          </w:p>
        </w:tc>
      </w:tr>
      <w:tr w:rsidR="00FD2DE6" w:rsidRPr="00AE36F0" w14:paraId="0A5BB0E9" w14:textId="77777777" w:rsidTr="0019069C">
        <w:trPr>
          <w:trHeight w:val="202"/>
        </w:trPr>
        <w:tc>
          <w:tcPr>
            <w:tcW w:w="1418" w:type="dxa"/>
            <w:tcBorders>
              <w:top w:val="single" w:sz="4" w:space="0" w:color="auto"/>
              <w:left w:val="single" w:sz="4" w:space="0" w:color="auto"/>
              <w:bottom w:val="single" w:sz="4" w:space="0" w:color="auto"/>
              <w:right w:val="single" w:sz="4" w:space="0" w:color="auto"/>
            </w:tcBorders>
            <w:vAlign w:val="center"/>
          </w:tcPr>
          <w:p w14:paraId="0381FCC3" w14:textId="77777777" w:rsidR="009A021D" w:rsidRPr="00AE36F0" w:rsidRDefault="009A021D" w:rsidP="007D04CB">
            <w:pPr>
              <w:rPr>
                <w:rFonts w:ascii="Montserrat" w:hAnsi="Montserrat" w:cs="Calibri"/>
                <w:bCs/>
              </w:rPr>
            </w:pPr>
            <w:r w:rsidRPr="00AE36F0">
              <w:rPr>
                <w:rFonts w:ascii="Montserrat" w:hAnsi="Montserrat" w:cs="Calibri"/>
                <w:bCs/>
              </w:rPr>
              <w:t>7.8.1.1</w:t>
            </w:r>
          </w:p>
        </w:tc>
        <w:tc>
          <w:tcPr>
            <w:tcW w:w="5453" w:type="dxa"/>
            <w:tcBorders>
              <w:top w:val="single" w:sz="4" w:space="0" w:color="auto"/>
              <w:left w:val="nil"/>
              <w:bottom w:val="single" w:sz="4" w:space="0" w:color="auto"/>
              <w:right w:val="single" w:sz="4" w:space="0" w:color="auto"/>
            </w:tcBorders>
            <w:vAlign w:val="center"/>
          </w:tcPr>
          <w:p w14:paraId="2CCA7339" w14:textId="77777777" w:rsidR="009A021D" w:rsidRPr="00AE36F0" w:rsidRDefault="009A021D" w:rsidP="009A021D">
            <w:pPr>
              <w:rPr>
                <w:rFonts w:ascii="Montserrat" w:hAnsi="Montserrat"/>
                <w:bCs/>
                <w:lang w:val="es-MX"/>
              </w:rPr>
            </w:pPr>
            <w:r w:rsidRPr="00AE36F0">
              <w:rPr>
                <w:rFonts w:ascii="Montserrat" w:hAnsi="Montserrat"/>
                <w:bCs/>
                <w:lang w:val="es-MX"/>
              </w:rPr>
              <w:t>Bienes arqueológicos, artísticos e históricos</w:t>
            </w:r>
          </w:p>
        </w:tc>
        <w:tc>
          <w:tcPr>
            <w:tcW w:w="2385" w:type="dxa"/>
            <w:tcBorders>
              <w:top w:val="single" w:sz="4" w:space="0" w:color="auto"/>
              <w:left w:val="nil"/>
              <w:bottom w:val="single" w:sz="4" w:space="0" w:color="auto"/>
              <w:right w:val="single" w:sz="4" w:space="0" w:color="auto"/>
            </w:tcBorders>
            <w:vAlign w:val="center"/>
          </w:tcPr>
          <w:p w14:paraId="6DB315E4" w14:textId="77777777" w:rsidR="009A021D" w:rsidRPr="00AE36F0" w:rsidRDefault="009A021D" w:rsidP="009A021D">
            <w:pPr>
              <w:jc w:val="right"/>
              <w:rPr>
                <w:rFonts w:ascii="Montserrat" w:hAnsi="Montserrat"/>
                <w:bCs/>
                <w:lang w:val="es-MX"/>
              </w:rPr>
            </w:pPr>
            <w:r w:rsidRPr="00AE36F0">
              <w:rPr>
                <w:rFonts w:ascii="Montserrat" w:hAnsi="Montserrat"/>
                <w:bCs/>
                <w:lang w:val="es-MX"/>
              </w:rPr>
              <w:t>20.00</w:t>
            </w:r>
          </w:p>
        </w:tc>
      </w:tr>
      <w:tr w:rsidR="00977E4E" w:rsidRPr="00AE36F0" w14:paraId="6D38DDDA" w14:textId="77777777" w:rsidTr="0019069C">
        <w:trPr>
          <w:trHeight w:val="31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7A9E8F77" w14:textId="77777777" w:rsidR="009A021D" w:rsidRPr="00AE36F0" w:rsidRDefault="009A021D" w:rsidP="007D04CB">
            <w:pPr>
              <w:rPr>
                <w:rFonts w:ascii="Montserrat" w:eastAsia="Times New Roman" w:hAnsi="Montserrat" w:cs="Times New Roman"/>
                <w:b/>
                <w:bCs/>
                <w:lang w:val="es-MX"/>
              </w:rPr>
            </w:pPr>
            <w:r w:rsidRPr="00AE36F0">
              <w:rPr>
                <w:rFonts w:ascii="Montserrat" w:eastAsia="Times New Roman" w:hAnsi="Montserrat" w:cs="Times New Roman"/>
                <w:b/>
                <w:bCs/>
                <w:lang w:val="es-MX"/>
              </w:rPr>
              <w:t> </w:t>
            </w:r>
          </w:p>
        </w:tc>
        <w:tc>
          <w:tcPr>
            <w:tcW w:w="5453" w:type="dxa"/>
            <w:tcBorders>
              <w:top w:val="single" w:sz="4" w:space="0" w:color="auto"/>
              <w:left w:val="nil"/>
              <w:bottom w:val="single" w:sz="4" w:space="0" w:color="auto"/>
              <w:right w:val="single" w:sz="4" w:space="0" w:color="auto"/>
            </w:tcBorders>
            <w:noWrap/>
            <w:vAlign w:val="bottom"/>
            <w:hideMark/>
          </w:tcPr>
          <w:p w14:paraId="2FF2CA9B" w14:textId="1741A111" w:rsidR="009A021D" w:rsidRPr="00AE36F0" w:rsidRDefault="009A021D" w:rsidP="007F502C">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TOTA</w:t>
            </w:r>
            <w:r w:rsidR="00D917CF" w:rsidRPr="00AE36F0">
              <w:rPr>
                <w:rFonts w:ascii="Montserrat" w:eastAsia="Times New Roman" w:hAnsi="Montserrat" w:cs="Times New Roman"/>
                <w:b/>
                <w:bCs/>
                <w:lang w:val="es-MX"/>
              </w:rPr>
              <w:t>L</w:t>
            </w:r>
          </w:p>
        </w:tc>
        <w:tc>
          <w:tcPr>
            <w:tcW w:w="2385" w:type="dxa"/>
            <w:tcBorders>
              <w:top w:val="single" w:sz="4" w:space="0" w:color="auto"/>
              <w:left w:val="nil"/>
              <w:bottom w:val="single" w:sz="4" w:space="0" w:color="auto"/>
              <w:right w:val="single" w:sz="4" w:space="0" w:color="auto"/>
            </w:tcBorders>
            <w:noWrap/>
            <w:vAlign w:val="center"/>
            <w:hideMark/>
          </w:tcPr>
          <w:p w14:paraId="10537840" w14:textId="6BD1894C" w:rsidR="009A021D" w:rsidRPr="00AE36F0" w:rsidRDefault="00EB2A73" w:rsidP="007F502C">
            <w:pPr>
              <w:jc w:val="center"/>
              <w:rPr>
                <w:rFonts w:ascii="Montserrat" w:eastAsia="Times New Roman" w:hAnsi="Montserrat" w:cs="Times New Roman"/>
                <w:b/>
                <w:bCs/>
                <w:lang w:val="es-MX"/>
              </w:rPr>
            </w:pPr>
            <w:r w:rsidRPr="00AE36F0">
              <w:rPr>
                <w:rFonts w:ascii="Montserrat" w:eastAsia="Times New Roman" w:hAnsi="Montserrat" w:cs="Times New Roman"/>
                <w:b/>
                <w:bCs/>
                <w:lang w:val="es-MX"/>
              </w:rPr>
              <w:t>20,024,938,023.94</w:t>
            </w:r>
          </w:p>
        </w:tc>
      </w:tr>
    </w:tbl>
    <w:p w14:paraId="39A3F3A6" w14:textId="3506F19C" w:rsidR="002E1CFA" w:rsidRDefault="002E1CFA" w:rsidP="009A021D">
      <w:pPr>
        <w:rPr>
          <w:rFonts w:ascii="Montserrat" w:hAnsi="Montserrat"/>
          <w:b/>
          <w:lang w:val="es-MX"/>
        </w:rPr>
      </w:pPr>
    </w:p>
    <w:p w14:paraId="71118E09" w14:textId="77777777" w:rsidR="0019069C" w:rsidRPr="00AE36F0" w:rsidRDefault="0019069C" w:rsidP="009A021D">
      <w:pPr>
        <w:rPr>
          <w:rFonts w:ascii="Montserrat" w:hAnsi="Montserrat"/>
          <w:b/>
          <w:lang w:val="es-MX"/>
        </w:rPr>
      </w:pPr>
    </w:p>
    <w:p w14:paraId="01A9F1C1" w14:textId="30F4FC4C" w:rsidR="009A021D" w:rsidRPr="00AE36F0" w:rsidRDefault="009A021D" w:rsidP="009A021D">
      <w:pPr>
        <w:rPr>
          <w:rFonts w:ascii="Montserrat" w:eastAsia="Times New Roman" w:hAnsi="Montserrat" w:cs="Arial"/>
          <w:b/>
          <w:bCs/>
        </w:rPr>
      </w:pPr>
      <w:r w:rsidRPr="00AE36F0">
        <w:rPr>
          <w:rFonts w:ascii="Montserrat" w:eastAsia="Times New Roman" w:hAnsi="Montserrat" w:cs="Arial"/>
          <w:b/>
          <w:bCs/>
        </w:rPr>
        <w:t>CUENTAS DE ORDEN PRESUPUESTARIO</w:t>
      </w:r>
    </w:p>
    <w:p w14:paraId="6FAC2DDC" w14:textId="77777777" w:rsidR="009A021D" w:rsidRPr="00AE36F0" w:rsidRDefault="009A021D" w:rsidP="009A021D">
      <w:pPr>
        <w:tabs>
          <w:tab w:val="left" w:pos="1260"/>
        </w:tabs>
        <w:spacing w:after="101" w:line="224" w:lineRule="exact"/>
        <w:ind w:firstLine="289"/>
        <w:jc w:val="both"/>
        <w:rPr>
          <w:rFonts w:ascii="Montserrat" w:eastAsia="Times New Roman" w:hAnsi="Montserrat" w:cs="Arial"/>
          <w:b/>
          <w:lang w:eastAsia="es-ES"/>
        </w:rPr>
      </w:pPr>
    </w:p>
    <w:p w14:paraId="3B684C55" w14:textId="5CC22512" w:rsidR="009A021D" w:rsidRPr="00AE36F0" w:rsidRDefault="009A021D" w:rsidP="009A021D">
      <w:pPr>
        <w:tabs>
          <w:tab w:val="left" w:pos="1260"/>
        </w:tabs>
        <w:spacing w:after="120" w:line="224" w:lineRule="exact"/>
        <w:jc w:val="both"/>
        <w:rPr>
          <w:rFonts w:ascii="Montserrat" w:eastAsia="Times New Roman" w:hAnsi="Montserrat" w:cs="Arial"/>
          <w:bCs/>
          <w:lang w:val="es-MX" w:eastAsia="es-ES"/>
        </w:rPr>
      </w:pPr>
      <w:r w:rsidRPr="00AE36F0">
        <w:rPr>
          <w:rFonts w:ascii="Montserrat" w:eastAsia="Times New Roman" w:hAnsi="Montserrat" w:cs="Arial"/>
          <w:bCs/>
          <w:lang w:eastAsia="es-ES"/>
        </w:rPr>
        <w:t>En</w:t>
      </w:r>
      <w:r w:rsidRPr="00AE36F0">
        <w:rPr>
          <w:rFonts w:ascii="Montserrat" w:eastAsia="Times New Roman" w:hAnsi="Montserrat" w:cs="Arial"/>
          <w:bCs/>
          <w:lang w:val="es-MX" w:eastAsia="es-ES"/>
        </w:rPr>
        <w:t xml:space="preserve"> las cuentas de orden presupuestarias, se informa el avance que se registra, previo al cierre presupuestario de cada periodo que se reporta.</w:t>
      </w:r>
    </w:p>
    <w:p w14:paraId="4146D163" w14:textId="77777777" w:rsidR="007D04CB" w:rsidRPr="00AE36F0" w:rsidRDefault="007D04CB" w:rsidP="009A021D">
      <w:pPr>
        <w:tabs>
          <w:tab w:val="left" w:pos="1260"/>
        </w:tabs>
        <w:spacing w:after="120" w:line="224" w:lineRule="exact"/>
        <w:jc w:val="both"/>
        <w:rPr>
          <w:rFonts w:ascii="Montserrat" w:eastAsia="Times New Roman" w:hAnsi="Montserrat" w:cs="Arial"/>
          <w:bCs/>
          <w:lang w:val="es-MX" w:eastAsia="es-ES"/>
        </w:rPr>
      </w:pPr>
    </w:p>
    <w:p w14:paraId="2B451E30" w14:textId="55CCCFA8" w:rsidR="00977E4E" w:rsidRPr="00AE36F0" w:rsidRDefault="009A021D" w:rsidP="009A021D">
      <w:pPr>
        <w:tabs>
          <w:tab w:val="left" w:pos="1260"/>
        </w:tabs>
        <w:spacing w:after="120" w:line="224" w:lineRule="exact"/>
        <w:jc w:val="both"/>
        <w:rPr>
          <w:rFonts w:ascii="Montserrat" w:eastAsia="Times New Roman" w:hAnsi="Montserrat" w:cs="Arial"/>
          <w:bCs/>
          <w:lang w:val="es-MX" w:eastAsia="es-ES"/>
        </w:rPr>
      </w:pPr>
      <w:r w:rsidRPr="00AE36F0">
        <w:rPr>
          <w:rFonts w:ascii="Montserrat" w:eastAsia="Times New Roman" w:hAnsi="Montserrat" w:cs="Arial"/>
          <w:bCs/>
          <w:lang w:val="es-MX" w:eastAsia="es-ES"/>
        </w:rPr>
        <w:t>Dichas cifras corresponden al presupuesto total aprobado para el Gobierno del Estado.</w:t>
      </w:r>
    </w:p>
    <w:p w14:paraId="791BE572" w14:textId="77777777" w:rsidR="007F502C" w:rsidRPr="00AE36F0" w:rsidRDefault="007F502C" w:rsidP="009A021D">
      <w:pPr>
        <w:tabs>
          <w:tab w:val="left" w:pos="1260"/>
        </w:tabs>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AE36F0" w14:paraId="242121A3" w14:textId="77777777" w:rsidTr="002E1CFA">
        <w:trPr>
          <w:trHeight w:val="656"/>
        </w:trPr>
        <w:tc>
          <w:tcPr>
            <w:tcW w:w="8931" w:type="dxa"/>
            <w:gridSpan w:val="2"/>
            <w:shd w:val="clear" w:color="auto" w:fill="D9D9D9" w:themeFill="background1" w:themeFillShade="D9"/>
            <w:vAlign w:val="center"/>
          </w:tcPr>
          <w:p w14:paraId="4D85E14D" w14:textId="77777777" w:rsidR="009A021D" w:rsidRPr="00AE36F0" w:rsidRDefault="009A021D" w:rsidP="004B3002">
            <w:pPr>
              <w:spacing w:after="120" w:line="216" w:lineRule="exact"/>
              <w:jc w:val="center"/>
              <w:rPr>
                <w:rFonts w:ascii="Montserrat" w:eastAsia="Times New Roman" w:hAnsi="Montserrat" w:cs="Arial"/>
                <w:b/>
                <w:lang w:eastAsia="es-ES"/>
              </w:rPr>
            </w:pPr>
            <w:r w:rsidRPr="00AE36F0">
              <w:rPr>
                <w:rFonts w:ascii="Montserrat" w:eastAsia="Times New Roman" w:hAnsi="Montserrat" w:cs="Arial"/>
                <w:b/>
                <w:lang w:eastAsia="es-ES"/>
              </w:rPr>
              <w:t>Cuentas de Orden Presupuestarias de Ingresos</w:t>
            </w:r>
          </w:p>
        </w:tc>
      </w:tr>
      <w:tr w:rsidR="00FD2DE6" w:rsidRPr="00AE36F0" w14:paraId="5C2CD1E4" w14:textId="77777777" w:rsidTr="00C33ACA">
        <w:tc>
          <w:tcPr>
            <w:tcW w:w="5954" w:type="dxa"/>
            <w:shd w:val="clear" w:color="auto" w:fill="D9D9D9" w:themeFill="background1" w:themeFillShade="D9"/>
            <w:vAlign w:val="center"/>
          </w:tcPr>
          <w:p w14:paraId="26143BD0" w14:textId="77777777" w:rsidR="009A021D" w:rsidRPr="00AE36F0" w:rsidRDefault="009A021D" w:rsidP="004B3002">
            <w:pPr>
              <w:spacing w:after="120" w:line="216" w:lineRule="exact"/>
              <w:jc w:val="center"/>
              <w:rPr>
                <w:rFonts w:ascii="Montserrat" w:eastAsia="Times New Roman" w:hAnsi="Montserrat" w:cs="Arial"/>
                <w:b/>
                <w:lang w:eastAsia="es-ES"/>
              </w:rPr>
            </w:pPr>
            <w:r w:rsidRPr="00AE36F0">
              <w:rPr>
                <w:rFonts w:ascii="Montserrat" w:eastAsia="Times New Roman" w:hAnsi="Montserrat" w:cs="Arial"/>
                <w:b/>
                <w:lang w:eastAsia="es-ES"/>
              </w:rPr>
              <w:t>Concepto</w:t>
            </w:r>
          </w:p>
        </w:tc>
        <w:tc>
          <w:tcPr>
            <w:tcW w:w="2977" w:type="dxa"/>
            <w:shd w:val="clear" w:color="auto" w:fill="D9D9D9" w:themeFill="background1" w:themeFillShade="D9"/>
            <w:vAlign w:val="center"/>
          </w:tcPr>
          <w:p w14:paraId="71476CFB" w14:textId="4E67AACE" w:rsidR="009A021D" w:rsidRPr="00AE36F0" w:rsidRDefault="009A021D" w:rsidP="004B3002">
            <w:pPr>
              <w:spacing w:after="120" w:line="216" w:lineRule="exact"/>
              <w:jc w:val="center"/>
              <w:rPr>
                <w:rFonts w:ascii="Montserrat" w:eastAsia="Times New Roman" w:hAnsi="Montserrat" w:cs="Arial"/>
                <w:b/>
                <w:lang w:eastAsia="es-ES"/>
              </w:rPr>
            </w:pPr>
            <w:r w:rsidRPr="00AE36F0">
              <w:rPr>
                <w:rFonts w:ascii="Montserrat" w:eastAsia="Times New Roman" w:hAnsi="Montserrat" w:cs="Arial"/>
                <w:b/>
                <w:lang w:eastAsia="es-ES"/>
              </w:rPr>
              <w:t>202</w:t>
            </w:r>
            <w:r w:rsidR="00B46653" w:rsidRPr="00AE36F0">
              <w:rPr>
                <w:rFonts w:ascii="Montserrat" w:eastAsia="Times New Roman" w:hAnsi="Montserrat" w:cs="Arial"/>
                <w:b/>
                <w:lang w:eastAsia="es-ES"/>
              </w:rPr>
              <w:t>5</w:t>
            </w:r>
          </w:p>
        </w:tc>
      </w:tr>
      <w:tr w:rsidR="00F532CF" w:rsidRPr="00AE36F0" w14:paraId="21F2E826" w14:textId="77777777" w:rsidTr="00C33ACA">
        <w:tc>
          <w:tcPr>
            <w:tcW w:w="5954" w:type="dxa"/>
            <w:vAlign w:val="center"/>
          </w:tcPr>
          <w:p w14:paraId="3E7D09A5" w14:textId="392C60DD" w:rsidR="00F532CF" w:rsidRPr="00AE36F0" w:rsidRDefault="00F532CF" w:rsidP="004B359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Estimada</w:t>
            </w:r>
          </w:p>
        </w:tc>
        <w:tc>
          <w:tcPr>
            <w:tcW w:w="2977" w:type="dxa"/>
            <w:vAlign w:val="center"/>
          </w:tcPr>
          <w:p w14:paraId="5DE7D568" w14:textId="3526680A" w:rsidR="00F532CF" w:rsidRPr="00AE36F0" w:rsidRDefault="00A17704"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103,000,967,838.00</w:t>
            </w:r>
          </w:p>
        </w:tc>
      </w:tr>
      <w:tr w:rsidR="00F532CF" w:rsidRPr="00AE36F0" w14:paraId="258EE673" w14:textId="77777777" w:rsidTr="00C33ACA">
        <w:tc>
          <w:tcPr>
            <w:tcW w:w="5954" w:type="dxa"/>
            <w:vAlign w:val="center"/>
          </w:tcPr>
          <w:p w14:paraId="7EC0CCD2" w14:textId="77777777" w:rsidR="00F532CF" w:rsidRPr="00AE36F0" w:rsidRDefault="00F532CF" w:rsidP="004B359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por Ejecutar</w:t>
            </w:r>
          </w:p>
        </w:tc>
        <w:tc>
          <w:tcPr>
            <w:tcW w:w="2977" w:type="dxa"/>
            <w:vAlign w:val="center"/>
          </w:tcPr>
          <w:p w14:paraId="457E9E62" w14:textId="3129EF1F" w:rsidR="00F532CF" w:rsidRPr="00AE36F0" w:rsidRDefault="00C072E5" w:rsidP="00E4567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-2,679,986,515.17</w:t>
            </w:r>
          </w:p>
        </w:tc>
      </w:tr>
      <w:tr w:rsidR="00F532CF" w:rsidRPr="00AE36F0" w14:paraId="5765988D" w14:textId="77777777" w:rsidTr="00C33ACA">
        <w:tc>
          <w:tcPr>
            <w:tcW w:w="5954" w:type="dxa"/>
            <w:vAlign w:val="center"/>
          </w:tcPr>
          <w:p w14:paraId="762BA33D" w14:textId="77777777" w:rsidR="00F532CF" w:rsidRPr="00AE36F0" w:rsidRDefault="00F532CF" w:rsidP="004B359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Modificaciones a la Ley de Ingresos Estimada</w:t>
            </w:r>
          </w:p>
        </w:tc>
        <w:tc>
          <w:tcPr>
            <w:tcW w:w="2977" w:type="dxa"/>
            <w:vAlign w:val="center"/>
          </w:tcPr>
          <w:p w14:paraId="032256B9" w14:textId="0D41CD28" w:rsidR="00F532CF" w:rsidRPr="00AE36F0" w:rsidRDefault="007D1725"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0.00</w:t>
            </w:r>
          </w:p>
        </w:tc>
      </w:tr>
      <w:tr w:rsidR="00E45672" w:rsidRPr="00AE36F0" w14:paraId="400DF065" w14:textId="77777777" w:rsidTr="00C33ACA">
        <w:trPr>
          <w:trHeight w:val="447"/>
        </w:trPr>
        <w:tc>
          <w:tcPr>
            <w:tcW w:w="5954" w:type="dxa"/>
            <w:vAlign w:val="center"/>
          </w:tcPr>
          <w:p w14:paraId="6F9A2C8B" w14:textId="77777777" w:rsidR="00E45672" w:rsidRPr="00AE36F0" w:rsidRDefault="00E45672" w:rsidP="00E4567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Devengada</w:t>
            </w:r>
          </w:p>
        </w:tc>
        <w:tc>
          <w:tcPr>
            <w:tcW w:w="2977" w:type="dxa"/>
            <w:vAlign w:val="bottom"/>
          </w:tcPr>
          <w:p w14:paraId="08ABC0BE" w14:textId="541A896B" w:rsidR="00E45672" w:rsidRPr="00AE36F0" w:rsidRDefault="00C072E5" w:rsidP="00E4567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146,446,124,035.17</w:t>
            </w:r>
          </w:p>
        </w:tc>
      </w:tr>
      <w:tr w:rsidR="00E45672" w:rsidRPr="00AE36F0" w14:paraId="103724B9" w14:textId="77777777" w:rsidTr="00C33ACA">
        <w:tc>
          <w:tcPr>
            <w:tcW w:w="5954" w:type="dxa"/>
            <w:vAlign w:val="center"/>
          </w:tcPr>
          <w:p w14:paraId="71CC3572" w14:textId="77777777" w:rsidR="00E45672" w:rsidRPr="00AE36F0" w:rsidRDefault="00E45672" w:rsidP="00E45672">
            <w:pPr>
              <w:spacing w:before="60" w:after="60" w:line="216" w:lineRule="exact"/>
              <w:rPr>
                <w:rFonts w:ascii="Montserrat" w:eastAsia="Times New Roman" w:hAnsi="Montserrat" w:cs="Arial"/>
                <w:bCs/>
                <w:lang w:eastAsia="es-ES"/>
              </w:rPr>
            </w:pPr>
            <w:r w:rsidRPr="00AE36F0">
              <w:rPr>
                <w:rFonts w:ascii="Montserrat" w:eastAsia="Times New Roman" w:hAnsi="Montserrat" w:cs="Arial"/>
                <w:bCs/>
                <w:lang w:eastAsia="es-ES"/>
              </w:rPr>
              <w:t>Ley de Ingresos Recaudada</w:t>
            </w:r>
          </w:p>
        </w:tc>
        <w:tc>
          <w:tcPr>
            <w:tcW w:w="2977" w:type="dxa"/>
            <w:vAlign w:val="bottom"/>
          </w:tcPr>
          <w:p w14:paraId="422B3FB0" w14:textId="06488D6C" w:rsidR="00E45672" w:rsidRPr="00AE36F0" w:rsidRDefault="00C072E5" w:rsidP="00E4567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141,272,373,482.77</w:t>
            </w:r>
          </w:p>
        </w:tc>
      </w:tr>
    </w:tbl>
    <w:p w14:paraId="2E888242" w14:textId="77777777" w:rsidR="009A021D" w:rsidRDefault="009A021D" w:rsidP="009A021D">
      <w:pPr>
        <w:spacing w:after="120" w:line="224" w:lineRule="exact"/>
        <w:jc w:val="both"/>
        <w:rPr>
          <w:rFonts w:ascii="Montserrat" w:eastAsia="Times New Roman" w:hAnsi="Montserrat" w:cs="Arial"/>
          <w:bCs/>
          <w:lang w:val="es-MX" w:eastAsia="es-ES"/>
        </w:rPr>
      </w:pPr>
    </w:p>
    <w:p w14:paraId="3EBF6B90" w14:textId="77777777" w:rsidR="0019069C" w:rsidRPr="00AE36F0" w:rsidRDefault="0019069C" w:rsidP="009A021D">
      <w:pPr>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AE36F0" w14:paraId="7E5D581F" w14:textId="77777777" w:rsidTr="002E1CFA">
        <w:trPr>
          <w:trHeight w:val="549"/>
        </w:trPr>
        <w:tc>
          <w:tcPr>
            <w:tcW w:w="8931" w:type="dxa"/>
            <w:gridSpan w:val="2"/>
            <w:shd w:val="clear" w:color="auto" w:fill="D9D9D9" w:themeFill="background1" w:themeFillShade="D9"/>
            <w:vAlign w:val="center"/>
          </w:tcPr>
          <w:p w14:paraId="4CF8C2FE" w14:textId="2BAC223A" w:rsidR="00447E14" w:rsidRPr="00AE36F0" w:rsidRDefault="009A021D" w:rsidP="005D0CB2">
            <w:pPr>
              <w:spacing w:after="120" w:line="216" w:lineRule="exact"/>
              <w:ind w:firstLine="288"/>
              <w:jc w:val="center"/>
              <w:rPr>
                <w:rFonts w:ascii="Montserrat" w:hAnsi="Montserrat" w:cs="Arial"/>
                <w:b/>
              </w:rPr>
            </w:pPr>
            <w:r w:rsidRPr="00AE36F0">
              <w:rPr>
                <w:rFonts w:ascii="Montserrat" w:hAnsi="Montserrat"/>
                <w:b/>
                <w:lang w:val="es-MX"/>
              </w:rPr>
              <w:lastRenderedPageBreak/>
              <w:br w:type="page"/>
            </w:r>
            <w:r w:rsidR="00447E14" w:rsidRPr="00AE36F0">
              <w:rPr>
                <w:rFonts w:ascii="Montserrat" w:hAnsi="Montserrat" w:cs="Arial"/>
                <w:b/>
              </w:rPr>
              <w:t>Cuentas de Orden Presupuestarias de Egresos</w:t>
            </w:r>
          </w:p>
        </w:tc>
      </w:tr>
      <w:tr w:rsidR="00FD2DE6" w:rsidRPr="00AE36F0" w14:paraId="14717778" w14:textId="77777777" w:rsidTr="00B11397">
        <w:tc>
          <w:tcPr>
            <w:tcW w:w="5954" w:type="dxa"/>
            <w:shd w:val="clear" w:color="auto" w:fill="D9D9D9" w:themeFill="background1" w:themeFillShade="D9"/>
            <w:vAlign w:val="center"/>
          </w:tcPr>
          <w:p w14:paraId="5E0A92E6" w14:textId="77777777" w:rsidR="00447E14" w:rsidRPr="00AE36F0" w:rsidRDefault="00447E14" w:rsidP="005D0CB2">
            <w:pPr>
              <w:spacing w:after="120" w:line="216" w:lineRule="exact"/>
              <w:ind w:firstLine="288"/>
              <w:jc w:val="center"/>
              <w:rPr>
                <w:rFonts w:ascii="Montserrat" w:hAnsi="Montserrat" w:cs="Arial"/>
                <w:b/>
              </w:rPr>
            </w:pPr>
            <w:r w:rsidRPr="00AE36F0">
              <w:rPr>
                <w:rFonts w:ascii="Montserrat" w:hAnsi="Montserrat" w:cs="Arial"/>
                <w:b/>
              </w:rPr>
              <w:t>Concepto</w:t>
            </w:r>
          </w:p>
        </w:tc>
        <w:tc>
          <w:tcPr>
            <w:tcW w:w="2977" w:type="dxa"/>
            <w:shd w:val="clear" w:color="auto" w:fill="D9D9D9" w:themeFill="background1" w:themeFillShade="D9"/>
            <w:vAlign w:val="center"/>
          </w:tcPr>
          <w:p w14:paraId="56B26249" w14:textId="4FF66F6C" w:rsidR="00447E14" w:rsidRPr="00AE36F0" w:rsidRDefault="00447E14" w:rsidP="005D0CB2">
            <w:pPr>
              <w:spacing w:after="120" w:line="216" w:lineRule="exact"/>
              <w:ind w:firstLine="288"/>
              <w:jc w:val="center"/>
              <w:rPr>
                <w:rFonts w:ascii="Montserrat" w:hAnsi="Montserrat" w:cs="Arial"/>
                <w:b/>
              </w:rPr>
            </w:pPr>
            <w:r w:rsidRPr="00AE36F0">
              <w:rPr>
                <w:rFonts w:ascii="Montserrat" w:hAnsi="Montserrat" w:cs="Arial"/>
                <w:b/>
              </w:rPr>
              <w:t>202</w:t>
            </w:r>
            <w:r w:rsidR="00B46653" w:rsidRPr="00AE36F0">
              <w:rPr>
                <w:rFonts w:ascii="Montserrat" w:hAnsi="Montserrat" w:cs="Arial"/>
                <w:b/>
              </w:rPr>
              <w:t>5</w:t>
            </w:r>
          </w:p>
        </w:tc>
      </w:tr>
      <w:tr w:rsidR="00F532CF" w:rsidRPr="00AE36F0" w14:paraId="23A3F51B" w14:textId="77777777" w:rsidTr="00B11397">
        <w:trPr>
          <w:trHeight w:val="198"/>
        </w:trPr>
        <w:tc>
          <w:tcPr>
            <w:tcW w:w="5954" w:type="dxa"/>
            <w:vAlign w:val="center"/>
          </w:tcPr>
          <w:p w14:paraId="6000EE1D" w14:textId="77777777" w:rsidR="00F532CF" w:rsidRPr="00AE36F0" w:rsidRDefault="00F532CF" w:rsidP="004B3592">
            <w:pPr>
              <w:spacing w:before="60" w:after="60" w:line="216" w:lineRule="exact"/>
              <w:rPr>
                <w:rFonts w:ascii="Montserrat" w:hAnsi="Montserrat" w:cs="Arial"/>
                <w:bCs/>
              </w:rPr>
            </w:pPr>
            <w:r w:rsidRPr="00AE36F0">
              <w:rPr>
                <w:rFonts w:ascii="Montserrat" w:hAnsi="Montserrat" w:cs="Arial"/>
                <w:bCs/>
              </w:rPr>
              <w:t>Presupuesto de Egresos Aprobado</w:t>
            </w:r>
          </w:p>
        </w:tc>
        <w:tc>
          <w:tcPr>
            <w:tcW w:w="2977" w:type="dxa"/>
            <w:vAlign w:val="center"/>
          </w:tcPr>
          <w:p w14:paraId="1EBBBF3B" w14:textId="2A06F2E7" w:rsidR="00F532CF" w:rsidRPr="00AE36F0" w:rsidRDefault="00B34481" w:rsidP="004B3592">
            <w:pPr>
              <w:spacing w:before="60" w:after="60"/>
              <w:jc w:val="right"/>
              <w:rPr>
                <w:rFonts w:ascii="Montserrat" w:eastAsia="Times New Roman" w:hAnsi="Montserrat" w:cs="Arial"/>
                <w:bCs/>
                <w:lang w:eastAsia="es-ES"/>
              </w:rPr>
            </w:pPr>
            <w:r w:rsidRPr="00AE36F0">
              <w:rPr>
                <w:rFonts w:ascii="Montserrat" w:eastAsia="Times New Roman" w:hAnsi="Montserrat" w:cs="Arial"/>
                <w:bCs/>
                <w:lang w:eastAsia="es-ES"/>
              </w:rPr>
              <w:t>103,000,967,838.00</w:t>
            </w:r>
          </w:p>
        </w:tc>
      </w:tr>
      <w:tr w:rsidR="00F532CF" w:rsidRPr="00AE36F0" w14:paraId="59E7FC9E" w14:textId="77777777" w:rsidTr="00B11397">
        <w:tc>
          <w:tcPr>
            <w:tcW w:w="5954" w:type="dxa"/>
            <w:vAlign w:val="center"/>
          </w:tcPr>
          <w:p w14:paraId="63FEC8E6" w14:textId="77777777" w:rsidR="00F532CF" w:rsidRPr="00AE36F0" w:rsidRDefault="00F532CF" w:rsidP="004B3592">
            <w:pPr>
              <w:spacing w:before="60" w:after="60" w:line="216" w:lineRule="exact"/>
              <w:rPr>
                <w:rFonts w:ascii="Montserrat" w:hAnsi="Montserrat" w:cs="Arial"/>
                <w:bCs/>
              </w:rPr>
            </w:pPr>
            <w:r w:rsidRPr="00AE36F0">
              <w:rPr>
                <w:rFonts w:ascii="Montserrat" w:hAnsi="Montserrat" w:cs="Arial"/>
                <w:bCs/>
              </w:rPr>
              <w:t>Presupuesto de Egresos por Ejercer</w:t>
            </w:r>
          </w:p>
        </w:tc>
        <w:tc>
          <w:tcPr>
            <w:tcW w:w="2977" w:type="dxa"/>
            <w:vAlign w:val="center"/>
          </w:tcPr>
          <w:p w14:paraId="406E1352" w14:textId="4E64F012" w:rsidR="00F532CF" w:rsidRPr="00AE36F0" w:rsidRDefault="004635F9" w:rsidP="004B3592">
            <w:pPr>
              <w:spacing w:before="60" w:after="60"/>
              <w:jc w:val="right"/>
              <w:rPr>
                <w:rFonts w:ascii="Montserrat" w:eastAsia="Times New Roman" w:hAnsi="Montserrat" w:cs="Arial"/>
                <w:bCs/>
                <w:lang w:eastAsia="es-ES"/>
              </w:rPr>
            </w:pPr>
            <w:r w:rsidRPr="004635F9">
              <w:rPr>
                <w:rFonts w:ascii="Montserrat" w:eastAsia="Times New Roman" w:hAnsi="Montserrat" w:cs="Arial"/>
                <w:bCs/>
                <w:lang w:eastAsia="es-ES"/>
              </w:rPr>
              <w:t>21,872,108,539.96</w:t>
            </w:r>
          </w:p>
        </w:tc>
      </w:tr>
      <w:tr w:rsidR="00F532CF" w:rsidRPr="00AE36F0" w14:paraId="45F7A2D4" w14:textId="77777777" w:rsidTr="00B11397">
        <w:tc>
          <w:tcPr>
            <w:tcW w:w="5954" w:type="dxa"/>
            <w:vAlign w:val="center"/>
          </w:tcPr>
          <w:p w14:paraId="33D30C58" w14:textId="77777777" w:rsidR="00F532CF" w:rsidRPr="00AE36F0" w:rsidRDefault="00F532CF" w:rsidP="004B3592">
            <w:pPr>
              <w:spacing w:before="60" w:after="60" w:line="216" w:lineRule="exact"/>
              <w:rPr>
                <w:rFonts w:ascii="Montserrat" w:hAnsi="Montserrat" w:cs="Arial"/>
                <w:bCs/>
              </w:rPr>
            </w:pPr>
            <w:r w:rsidRPr="00AE36F0">
              <w:rPr>
                <w:rFonts w:ascii="Montserrat" w:hAnsi="Montserrat" w:cs="Arial"/>
                <w:bCs/>
              </w:rPr>
              <w:t>Modificaciones al Presupuesto de Egresos Aprobado</w:t>
            </w:r>
          </w:p>
        </w:tc>
        <w:tc>
          <w:tcPr>
            <w:tcW w:w="2977" w:type="dxa"/>
            <w:vAlign w:val="center"/>
          </w:tcPr>
          <w:p w14:paraId="428D68BB" w14:textId="43AFCA5C" w:rsidR="00F532CF" w:rsidRPr="00AE36F0" w:rsidRDefault="004635F9" w:rsidP="004B3592">
            <w:pPr>
              <w:spacing w:before="60" w:after="60"/>
              <w:jc w:val="right"/>
              <w:rPr>
                <w:rFonts w:ascii="Montserrat" w:eastAsia="Times New Roman" w:hAnsi="Montserrat" w:cs="Arial"/>
                <w:bCs/>
                <w:lang w:eastAsia="es-ES"/>
              </w:rPr>
            </w:pPr>
            <w:r w:rsidRPr="004635F9">
              <w:rPr>
                <w:rFonts w:ascii="Montserrat" w:eastAsia="Times New Roman" w:hAnsi="Montserrat" w:cs="Arial"/>
                <w:bCs/>
                <w:lang w:eastAsia="es-ES"/>
              </w:rPr>
              <w:t>30,340,366,194.17</w:t>
            </w:r>
          </w:p>
        </w:tc>
      </w:tr>
      <w:tr w:rsidR="004059D7" w:rsidRPr="00AE36F0" w14:paraId="659B8515" w14:textId="77777777" w:rsidTr="00B11397">
        <w:trPr>
          <w:trHeight w:val="405"/>
        </w:trPr>
        <w:tc>
          <w:tcPr>
            <w:tcW w:w="5954" w:type="dxa"/>
            <w:vAlign w:val="center"/>
          </w:tcPr>
          <w:p w14:paraId="482E7123" w14:textId="3CCA512C" w:rsidR="004059D7" w:rsidRPr="00AE36F0" w:rsidRDefault="004059D7" w:rsidP="004059D7">
            <w:pPr>
              <w:spacing w:before="60" w:after="60" w:line="216" w:lineRule="exact"/>
              <w:rPr>
                <w:rFonts w:ascii="Montserrat" w:hAnsi="Montserrat" w:cs="Arial"/>
                <w:bCs/>
              </w:rPr>
            </w:pPr>
            <w:r w:rsidRPr="00AE36F0">
              <w:rPr>
                <w:rFonts w:ascii="Montserrat" w:hAnsi="Montserrat" w:cs="Arial"/>
                <w:bCs/>
              </w:rPr>
              <w:t>Presupuesto de Egresos Comprometido</w:t>
            </w:r>
          </w:p>
        </w:tc>
        <w:tc>
          <w:tcPr>
            <w:tcW w:w="2977" w:type="dxa"/>
          </w:tcPr>
          <w:p w14:paraId="38B7288D" w14:textId="2D9E01C3" w:rsidR="004059D7" w:rsidRPr="00AE36F0" w:rsidRDefault="004059D7" w:rsidP="004059D7">
            <w:pPr>
              <w:spacing w:before="60" w:after="60" w:line="216" w:lineRule="exact"/>
              <w:jc w:val="right"/>
              <w:rPr>
                <w:rFonts w:ascii="Montserrat" w:hAnsi="Montserrat" w:cs="Arial"/>
                <w:bCs/>
              </w:rPr>
            </w:pPr>
            <w:r w:rsidRPr="00AE36F0">
              <w:rPr>
                <w:rFonts w:ascii="Montserrat" w:hAnsi="Montserrat"/>
              </w:rPr>
              <w:t>111,469,225,492.21</w:t>
            </w:r>
          </w:p>
        </w:tc>
      </w:tr>
      <w:tr w:rsidR="004059D7" w:rsidRPr="00AE36F0" w14:paraId="6FD7C062" w14:textId="77777777" w:rsidTr="00B11397">
        <w:tc>
          <w:tcPr>
            <w:tcW w:w="5954" w:type="dxa"/>
            <w:vAlign w:val="center"/>
          </w:tcPr>
          <w:p w14:paraId="1A4D6AFF" w14:textId="77777777" w:rsidR="004059D7" w:rsidRPr="00AE36F0" w:rsidRDefault="004059D7" w:rsidP="004059D7">
            <w:pPr>
              <w:spacing w:before="60" w:after="60" w:line="216" w:lineRule="exact"/>
              <w:rPr>
                <w:rFonts w:ascii="Montserrat" w:hAnsi="Montserrat" w:cs="Arial"/>
                <w:bCs/>
              </w:rPr>
            </w:pPr>
            <w:r w:rsidRPr="00AE36F0">
              <w:rPr>
                <w:rFonts w:ascii="Montserrat" w:hAnsi="Montserrat" w:cs="Arial"/>
                <w:bCs/>
              </w:rPr>
              <w:t>Presupuesto de Egresos Devengado</w:t>
            </w:r>
          </w:p>
        </w:tc>
        <w:tc>
          <w:tcPr>
            <w:tcW w:w="2977" w:type="dxa"/>
          </w:tcPr>
          <w:p w14:paraId="270E6F7C" w14:textId="6E34FFE6" w:rsidR="004059D7" w:rsidRPr="00AE36F0" w:rsidRDefault="004059D7" w:rsidP="004059D7">
            <w:pPr>
              <w:spacing w:before="60" w:after="60" w:line="216" w:lineRule="exact"/>
              <w:jc w:val="right"/>
              <w:rPr>
                <w:rFonts w:ascii="Montserrat" w:hAnsi="Montserrat" w:cs="Arial"/>
                <w:bCs/>
              </w:rPr>
            </w:pPr>
            <w:r w:rsidRPr="00AE36F0">
              <w:rPr>
                <w:rFonts w:ascii="Montserrat" w:hAnsi="Montserrat"/>
              </w:rPr>
              <w:t>108,345,565,467.54</w:t>
            </w:r>
          </w:p>
        </w:tc>
      </w:tr>
      <w:tr w:rsidR="00912B5D" w:rsidRPr="00AE36F0" w14:paraId="4505D8B8" w14:textId="77777777" w:rsidTr="00B11397">
        <w:tc>
          <w:tcPr>
            <w:tcW w:w="5954" w:type="dxa"/>
            <w:vAlign w:val="center"/>
          </w:tcPr>
          <w:p w14:paraId="42FC75B9" w14:textId="77777777" w:rsidR="00912B5D" w:rsidRPr="00AE36F0" w:rsidRDefault="00912B5D" w:rsidP="00912B5D">
            <w:pPr>
              <w:spacing w:before="60" w:after="60" w:line="216" w:lineRule="exact"/>
              <w:rPr>
                <w:rFonts w:ascii="Montserrat" w:hAnsi="Montserrat" w:cs="Arial"/>
                <w:bCs/>
              </w:rPr>
            </w:pPr>
            <w:r w:rsidRPr="00AE36F0">
              <w:rPr>
                <w:rFonts w:ascii="Montserrat" w:hAnsi="Montserrat" w:cs="Arial"/>
                <w:bCs/>
              </w:rPr>
              <w:t>Presupuesto de Egresos Ejercido</w:t>
            </w:r>
          </w:p>
        </w:tc>
        <w:tc>
          <w:tcPr>
            <w:tcW w:w="2977" w:type="dxa"/>
          </w:tcPr>
          <w:p w14:paraId="6A3D1970" w14:textId="15107085" w:rsidR="00912B5D" w:rsidRPr="00AE36F0" w:rsidRDefault="004059D7" w:rsidP="00912B5D">
            <w:pPr>
              <w:spacing w:before="60" w:after="60" w:line="216" w:lineRule="exact"/>
              <w:jc w:val="right"/>
              <w:rPr>
                <w:rFonts w:ascii="Montserrat" w:hAnsi="Montserrat" w:cs="Arial"/>
                <w:bCs/>
              </w:rPr>
            </w:pPr>
            <w:r w:rsidRPr="00AE36F0">
              <w:rPr>
                <w:rFonts w:ascii="Montserrat" w:hAnsi="Montserrat" w:cs="Arial"/>
                <w:bCs/>
              </w:rPr>
              <w:t>108,344,582,992.26</w:t>
            </w:r>
          </w:p>
        </w:tc>
      </w:tr>
      <w:tr w:rsidR="00912B5D" w:rsidRPr="00AE36F0" w14:paraId="73FF130F" w14:textId="77777777" w:rsidTr="00B11397">
        <w:tc>
          <w:tcPr>
            <w:tcW w:w="5954" w:type="dxa"/>
            <w:vAlign w:val="center"/>
          </w:tcPr>
          <w:p w14:paraId="0C57EE6D" w14:textId="77777777" w:rsidR="00912B5D" w:rsidRPr="00AE36F0" w:rsidRDefault="00912B5D" w:rsidP="00912B5D">
            <w:pPr>
              <w:spacing w:before="60" w:after="60" w:line="216" w:lineRule="exact"/>
              <w:rPr>
                <w:rFonts w:ascii="Montserrat" w:hAnsi="Montserrat" w:cs="Arial"/>
                <w:bCs/>
              </w:rPr>
            </w:pPr>
            <w:r w:rsidRPr="00AE36F0">
              <w:rPr>
                <w:rFonts w:ascii="Montserrat" w:hAnsi="Montserrat" w:cs="Arial"/>
                <w:bCs/>
              </w:rPr>
              <w:t>Presupuesto de Egresos Pagado</w:t>
            </w:r>
          </w:p>
        </w:tc>
        <w:tc>
          <w:tcPr>
            <w:tcW w:w="2977" w:type="dxa"/>
          </w:tcPr>
          <w:p w14:paraId="24628E70" w14:textId="2AE62887" w:rsidR="00912B5D" w:rsidRPr="00AE36F0" w:rsidRDefault="004059D7" w:rsidP="00912B5D">
            <w:pPr>
              <w:spacing w:before="60" w:after="60" w:line="216" w:lineRule="exact"/>
              <w:jc w:val="right"/>
              <w:rPr>
                <w:rFonts w:ascii="Montserrat" w:hAnsi="Montserrat" w:cs="Arial"/>
                <w:bCs/>
              </w:rPr>
            </w:pPr>
            <w:r w:rsidRPr="00AE36F0">
              <w:rPr>
                <w:rFonts w:ascii="Montserrat" w:hAnsi="Montserrat" w:cs="Arial"/>
                <w:bCs/>
              </w:rPr>
              <w:t>107,443,459,094.69</w:t>
            </w:r>
          </w:p>
        </w:tc>
      </w:tr>
    </w:tbl>
    <w:p w14:paraId="4719E37C" w14:textId="77777777" w:rsidR="00447E14" w:rsidRPr="00AE36F0" w:rsidRDefault="00447E14" w:rsidP="002E1CFA">
      <w:pPr>
        <w:spacing w:after="120" w:line="224" w:lineRule="exact"/>
        <w:jc w:val="both"/>
        <w:rPr>
          <w:rFonts w:ascii="Montserrat" w:eastAsia="Times New Roman" w:hAnsi="Montserrat" w:cs="Arial"/>
          <w:bCs/>
          <w:lang w:val="es-MX" w:eastAsia="es-ES"/>
        </w:rPr>
      </w:pPr>
    </w:p>
    <w:sectPr w:rsidR="00447E14" w:rsidRPr="00AE36F0" w:rsidSect="00216277">
      <w:headerReference w:type="even" r:id="rId20"/>
      <w:headerReference w:type="default" r:id="rId21"/>
      <w:footerReference w:type="even" r:id="rId22"/>
      <w:footerReference w:type="default" r:id="rId23"/>
      <w:pgSz w:w="12240" w:h="15840"/>
      <w:pgMar w:top="2835" w:right="1467" w:bottom="2127" w:left="1843" w:header="1985" w:footer="141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076EF" w14:textId="77777777" w:rsidR="00964589" w:rsidRDefault="00964589">
      <w:r>
        <w:separator/>
      </w:r>
    </w:p>
  </w:endnote>
  <w:endnote w:type="continuationSeparator" w:id="0">
    <w:p w14:paraId="48A264B0" w14:textId="77777777" w:rsidR="00964589" w:rsidRDefault="00964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5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w:panose1 w:val="00000000000000000000"/>
    <w:charset w:val="00"/>
    <w:family w:val="auto"/>
    <w:pitch w:val="variable"/>
    <w:sig w:usb0="A00002FF" w:usb1="4000207B" w:usb2="00000000" w:usb3="00000000" w:csb0="00000197" w:csb1="00000000"/>
  </w:font>
  <w:font w:name="Helvetica">
    <w:panose1 w:val="020B05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4987" w14:textId="77777777" w:rsidR="00A33C56" w:rsidRDefault="00A33C56">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878602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0DF287B9" w:rsidR="00A33C56" w:rsidRDefault="00A33C56">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Pr>
        <w:noProof/>
        <w:color w:val="000000"/>
      </w:rPr>
      <w:t>69</w:t>
    </w:r>
    <w:r>
      <w:rPr>
        <w:color w:val="000000"/>
      </w:rPr>
      <w:fldChar w:fldCharType="end"/>
    </w:r>
  </w:p>
  <w:p w14:paraId="6473890E" w14:textId="77777777" w:rsidR="00A33C56" w:rsidRDefault="00A33C56">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A33C56" w:rsidRDefault="00A33C56">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E936" w14:textId="4C49F13F" w:rsidR="007953C7" w:rsidRPr="00902574" w:rsidRDefault="007953C7" w:rsidP="007953C7">
    <w:pPr>
      <w:pStyle w:val="Piedepgina"/>
      <w:jc w:val="right"/>
      <w:rPr>
        <w:rFonts w:ascii="Montserrat" w:hAnsi="Montserrat"/>
      </w:rPr>
    </w:pPr>
    <w:r w:rsidRPr="00902574">
      <w:rPr>
        <w:rFonts w:ascii="Montserrat" w:hAnsi="Montserrat"/>
        <w:noProof/>
        <w:sz w:val="16"/>
        <w:szCs w:val="16"/>
      </w:rPr>
      <w:t>Cuenta Pública del Estado de Oaxaca del ejercicio fiscal 2025</w:t>
    </w:r>
  </w:p>
  <w:p w14:paraId="6193B278" w14:textId="4C9842BB" w:rsidR="00A33C56" w:rsidRPr="00726BD5" w:rsidRDefault="00A33C56" w:rsidP="007953C7">
    <w:pPr>
      <w:pBdr>
        <w:top w:val="nil"/>
        <w:left w:val="nil"/>
        <w:bottom w:val="nil"/>
        <w:right w:val="nil"/>
        <w:between w:val="nil"/>
      </w:pBdr>
      <w:tabs>
        <w:tab w:val="center" w:pos="4252"/>
        <w:tab w:val="right" w:pos="8504"/>
      </w:tabs>
      <w:jc w:val="right"/>
      <w:rPr>
        <w:rFonts w:ascii="Montserrat" w:hAnsi="Montserrat"/>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A1F66" w14:textId="77777777" w:rsidR="00964589" w:rsidRDefault="00964589">
      <w:r>
        <w:separator/>
      </w:r>
    </w:p>
  </w:footnote>
  <w:footnote w:type="continuationSeparator" w:id="0">
    <w:p w14:paraId="21791A55" w14:textId="77777777" w:rsidR="00964589" w:rsidRDefault="00964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5DAF" w14:textId="77777777" w:rsidR="00A33C56" w:rsidRDefault="00A33C56">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1723768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13369787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1A9" w14:textId="77777777" w:rsidR="00A33C56" w:rsidRDefault="00A33C56">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5714170"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AB26FC"/>
    <w:multiLevelType w:val="hybridMultilevel"/>
    <w:tmpl w:val="AB822C90"/>
    <w:lvl w:ilvl="0" w:tplc="485682A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F5406"/>
    <w:multiLevelType w:val="multilevel"/>
    <w:tmpl w:val="419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510D6C"/>
    <w:multiLevelType w:val="hybridMultilevel"/>
    <w:tmpl w:val="71D6B86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576784"/>
    <w:multiLevelType w:val="multilevel"/>
    <w:tmpl w:val="E002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8C7909"/>
    <w:multiLevelType w:val="hybridMultilevel"/>
    <w:tmpl w:val="6DB8B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5756665"/>
    <w:multiLevelType w:val="multilevel"/>
    <w:tmpl w:val="FC80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902843"/>
    <w:multiLevelType w:val="hybridMultilevel"/>
    <w:tmpl w:val="85FEC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7D521D"/>
    <w:multiLevelType w:val="multilevel"/>
    <w:tmpl w:val="D334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1D0245"/>
    <w:multiLevelType w:val="multilevel"/>
    <w:tmpl w:val="7876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8840722">
    <w:abstractNumId w:val="33"/>
  </w:num>
  <w:num w:numId="2" w16cid:durableId="412163198">
    <w:abstractNumId w:val="41"/>
  </w:num>
  <w:num w:numId="3" w16cid:durableId="393547722">
    <w:abstractNumId w:val="21"/>
  </w:num>
  <w:num w:numId="4" w16cid:durableId="965621423">
    <w:abstractNumId w:val="30"/>
  </w:num>
  <w:num w:numId="5" w16cid:durableId="652031233">
    <w:abstractNumId w:val="0"/>
  </w:num>
  <w:num w:numId="6" w16cid:durableId="2022120423">
    <w:abstractNumId w:val="1"/>
  </w:num>
  <w:num w:numId="7" w16cid:durableId="1821846598">
    <w:abstractNumId w:val="34"/>
  </w:num>
  <w:num w:numId="8" w16cid:durableId="1032993689">
    <w:abstractNumId w:val="13"/>
  </w:num>
  <w:num w:numId="9" w16cid:durableId="857619776">
    <w:abstractNumId w:val="32"/>
  </w:num>
  <w:num w:numId="10" w16cid:durableId="802819067">
    <w:abstractNumId w:val="7"/>
  </w:num>
  <w:num w:numId="11" w16cid:durableId="548223905">
    <w:abstractNumId w:val="17"/>
  </w:num>
  <w:num w:numId="12" w16cid:durableId="291978841">
    <w:abstractNumId w:val="2"/>
  </w:num>
  <w:num w:numId="13" w16cid:durableId="12148066">
    <w:abstractNumId w:val="22"/>
  </w:num>
  <w:num w:numId="14" w16cid:durableId="47841731">
    <w:abstractNumId w:val="15"/>
  </w:num>
  <w:num w:numId="15" w16cid:durableId="1486360047">
    <w:abstractNumId w:val="25"/>
  </w:num>
  <w:num w:numId="16" w16cid:durableId="190916763">
    <w:abstractNumId w:val="38"/>
  </w:num>
  <w:num w:numId="17" w16cid:durableId="602759655">
    <w:abstractNumId w:val="35"/>
  </w:num>
  <w:num w:numId="18" w16cid:durableId="25763228">
    <w:abstractNumId w:val="4"/>
  </w:num>
  <w:num w:numId="19" w16cid:durableId="1582636886">
    <w:abstractNumId w:val="39"/>
  </w:num>
  <w:num w:numId="20" w16cid:durableId="2014069492">
    <w:abstractNumId w:val="40"/>
  </w:num>
  <w:num w:numId="21" w16cid:durableId="316610951">
    <w:abstractNumId w:val="23"/>
  </w:num>
  <w:num w:numId="22" w16cid:durableId="1102871111">
    <w:abstractNumId w:val="26"/>
  </w:num>
  <w:num w:numId="23" w16cid:durableId="1125269245">
    <w:abstractNumId w:val="28"/>
  </w:num>
  <w:num w:numId="24" w16cid:durableId="1123305170">
    <w:abstractNumId w:val="14"/>
  </w:num>
  <w:num w:numId="25" w16cid:durableId="829716633">
    <w:abstractNumId w:val="9"/>
  </w:num>
  <w:num w:numId="26" w16cid:durableId="251204770">
    <w:abstractNumId w:val="6"/>
  </w:num>
  <w:num w:numId="27" w16cid:durableId="808984405">
    <w:abstractNumId w:val="36"/>
  </w:num>
  <w:num w:numId="28" w16cid:durableId="1719548257">
    <w:abstractNumId w:val="42"/>
  </w:num>
  <w:num w:numId="29" w16cid:durableId="691418499">
    <w:abstractNumId w:val="20"/>
  </w:num>
  <w:num w:numId="30" w16cid:durableId="755322190">
    <w:abstractNumId w:val="43"/>
  </w:num>
  <w:num w:numId="31" w16cid:durableId="296567070">
    <w:abstractNumId w:val="19"/>
  </w:num>
  <w:num w:numId="32" w16cid:durableId="883445703">
    <w:abstractNumId w:val="5"/>
  </w:num>
  <w:num w:numId="33" w16cid:durableId="1996101721">
    <w:abstractNumId w:val="27"/>
  </w:num>
  <w:num w:numId="34" w16cid:durableId="612588476">
    <w:abstractNumId w:val="10"/>
  </w:num>
  <w:num w:numId="35" w16cid:durableId="11885288">
    <w:abstractNumId w:val="45"/>
  </w:num>
  <w:num w:numId="36" w16cid:durableId="1483233234">
    <w:abstractNumId w:val="44"/>
  </w:num>
  <w:num w:numId="37" w16cid:durableId="1829709295">
    <w:abstractNumId w:val="16"/>
  </w:num>
  <w:num w:numId="38" w16cid:durableId="1678733550">
    <w:abstractNumId w:val="3"/>
  </w:num>
  <w:num w:numId="39" w16cid:durableId="85852279">
    <w:abstractNumId w:val="29"/>
  </w:num>
  <w:num w:numId="40" w16cid:durableId="1362124297">
    <w:abstractNumId w:val="18"/>
  </w:num>
  <w:num w:numId="41" w16cid:durableId="2077195023">
    <w:abstractNumId w:val="11"/>
  </w:num>
  <w:num w:numId="42" w16cid:durableId="734007428">
    <w:abstractNumId w:val="12"/>
  </w:num>
  <w:num w:numId="43" w16cid:durableId="914317117">
    <w:abstractNumId w:val="31"/>
  </w:num>
  <w:num w:numId="44" w16cid:durableId="1802070153">
    <w:abstractNumId w:val="24"/>
  </w:num>
  <w:num w:numId="45" w16cid:durableId="231889154">
    <w:abstractNumId w:val="8"/>
  </w:num>
  <w:num w:numId="46" w16cid:durableId="1539001409">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EA"/>
    <w:rsid w:val="00006419"/>
    <w:rsid w:val="00014A4A"/>
    <w:rsid w:val="00022173"/>
    <w:rsid w:val="00031666"/>
    <w:rsid w:val="00036380"/>
    <w:rsid w:val="00036AD4"/>
    <w:rsid w:val="00042437"/>
    <w:rsid w:val="0004316A"/>
    <w:rsid w:val="00047FD2"/>
    <w:rsid w:val="0006401A"/>
    <w:rsid w:val="00070661"/>
    <w:rsid w:val="000716B8"/>
    <w:rsid w:val="000731B9"/>
    <w:rsid w:val="00076F11"/>
    <w:rsid w:val="00081373"/>
    <w:rsid w:val="000849CF"/>
    <w:rsid w:val="00087EFF"/>
    <w:rsid w:val="000913F4"/>
    <w:rsid w:val="0009795E"/>
    <w:rsid w:val="000A1596"/>
    <w:rsid w:val="000A5732"/>
    <w:rsid w:val="000B2ECB"/>
    <w:rsid w:val="000B38F8"/>
    <w:rsid w:val="000B5417"/>
    <w:rsid w:val="000B63CE"/>
    <w:rsid w:val="000C684E"/>
    <w:rsid w:val="000D08C5"/>
    <w:rsid w:val="000D4D96"/>
    <w:rsid w:val="000E574B"/>
    <w:rsid w:val="000F270C"/>
    <w:rsid w:val="000F4053"/>
    <w:rsid w:val="000F49B3"/>
    <w:rsid w:val="001051D7"/>
    <w:rsid w:val="001054E4"/>
    <w:rsid w:val="00106109"/>
    <w:rsid w:val="0011110F"/>
    <w:rsid w:val="0011486F"/>
    <w:rsid w:val="00115F83"/>
    <w:rsid w:val="00116294"/>
    <w:rsid w:val="00131DE1"/>
    <w:rsid w:val="00131EB0"/>
    <w:rsid w:val="001329EA"/>
    <w:rsid w:val="00135569"/>
    <w:rsid w:val="00136D00"/>
    <w:rsid w:val="00137A29"/>
    <w:rsid w:val="001407B5"/>
    <w:rsid w:val="00140FBE"/>
    <w:rsid w:val="00143279"/>
    <w:rsid w:val="001456C6"/>
    <w:rsid w:val="001463D2"/>
    <w:rsid w:val="001474C3"/>
    <w:rsid w:val="00147E93"/>
    <w:rsid w:val="001532C5"/>
    <w:rsid w:val="001536E6"/>
    <w:rsid w:val="00155825"/>
    <w:rsid w:val="00160031"/>
    <w:rsid w:val="001649BE"/>
    <w:rsid w:val="00165939"/>
    <w:rsid w:val="00182F1C"/>
    <w:rsid w:val="00184517"/>
    <w:rsid w:val="00185F66"/>
    <w:rsid w:val="0019069C"/>
    <w:rsid w:val="00190A6A"/>
    <w:rsid w:val="0019166E"/>
    <w:rsid w:val="00192892"/>
    <w:rsid w:val="001A0DF7"/>
    <w:rsid w:val="001B07C1"/>
    <w:rsid w:val="001B0EE1"/>
    <w:rsid w:val="001B23EE"/>
    <w:rsid w:val="001B6D22"/>
    <w:rsid w:val="001C4EE1"/>
    <w:rsid w:val="001C4F85"/>
    <w:rsid w:val="001C5C06"/>
    <w:rsid w:val="001C6CE9"/>
    <w:rsid w:val="001D1887"/>
    <w:rsid w:val="001D193C"/>
    <w:rsid w:val="001D3D38"/>
    <w:rsid w:val="001E1E24"/>
    <w:rsid w:val="001F021D"/>
    <w:rsid w:val="001F09BA"/>
    <w:rsid w:val="001F1AC1"/>
    <w:rsid w:val="001F47F1"/>
    <w:rsid w:val="001F581E"/>
    <w:rsid w:val="00201378"/>
    <w:rsid w:val="002017DA"/>
    <w:rsid w:val="00210582"/>
    <w:rsid w:val="0021070A"/>
    <w:rsid w:val="00211983"/>
    <w:rsid w:val="00213DD4"/>
    <w:rsid w:val="00215ACF"/>
    <w:rsid w:val="00216277"/>
    <w:rsid w:val="00233C38"/>
    <w:rsid w:val="00236182"/>
    <w:rsid w:val="00241B7A"/>
    <w:rsid w:val="00246EA4"/>
    <w:rsid w:val="00254313"/>
    <w:rsid w:val="00254EC7"/>
    <w:rsid w:val="00257A29"/>
    <w:rsid w:val="00274DCA"/>
    <w:rsid w:val="00276BB4"/>
    <w:rsid w:val="002777EB"/>
    <w:rsid w:val="002820CC"/>
    <w:rsid w:val="00283AB9"/>
    <w:rsid w:val="00291F8F"/>
    <w:rsid w:val="00295C4D"/>
    <w:rsid w:val="002A626D"/>
    <w:rsid w:val="002B1DFE"/>
    <w:rsid w:val="002B23AD"/>
    <w:rsid w:val="002B3CC5"/>
    <w:rsid w:val="002B48D3"/>
    <w:rsid w:val="002B7275"/>
    <w:rsid w:val="002B7F7B"/>
    <w:rsid w:val="002C10CA"/>
    <w:rsid w:val="002C1139"/>
    <w:rsid w:val="002C5CAC"/>
    <w:rsid w:val="002D361E"/>
    <w:rsid w:val="002D798A"/>
    <w:rsid w:val="002E1CFA"/>
    <w:rsid w:val="002E59AF"/>
    <w:rsid w:val="002E6541"/>
    <w:rsid w:val="003115AE"/>
    <w:rsid w:val="00315582"/>
    <w:rsid w:val="00316925"/>
    <w:rsid w:val="00317CCC"/>
    <w:rsid w:val="0032226F"/>
    <w:rsid w:val="003234FF"/>
    <w:rsid w:val="003237FF"/>
    <w:rsid w:val="00327D86"/>
    <w:rsid w:val="0033229E"/>
    <w:rsid w:val="0033274A"/>
    <w:rsid w:val="003350E3"/>
    <w:rsid w:val="00344200"/>
    <w:rsid w:val="00350CC4"/>
    <w:rsid w:val="00351111"/>
    <w:rsid w:val="00352573"/>
    <w:rsid w:val="00353D98"/>
    <w:rsid w:val="00362B39"/>
    <w:rsid w:val="00367E13"/>
    <w:rsid w:val="003715F1"/>
    <w:rsid w:val="00371D67"/>
    <w:rsid w:val="003828F1"/>
    <w:rsid w:val="00382CE2"/>
    <w:rsid w:val="0038477A"/>
    <w:rsid w:val="0038714E"/>
    <w:rsid w:val="00390D92"/>
    <w:rsid w:val="00393739"/>
    <w:rsid w:val="003A0656"/>
    <w:rsid w:val="003A39D3"/>
    <w:rsid w:val="003A5275"/>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059D7"/>
    <w:rsid w:val="004109C4"/>
    <w:rsid w:val="00420ECC"/>
    <w:rsid w:val="00424A70"/>
    <w:rsid w:val="00431EBD"/>
    <w:rsid w:val="00434939"/>
    <w:rsid w:val="00435CD5"/>
    <w:rsid w:val="004365E9"/>
    <w:rsid w:val="004444AD"/>
    <w:rsid w:val="00444827"/>
    <w:rsid w:val="00445927"/>
    <w:rsid w:val="00447555"/>
    <w:rsid w:val="0044783D"/>
    <w:rsid w:val="00447E14"/>
    <w:rsid w:val="00461406"/>
    <w:rsid w:val="004635F9"/>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4D6417"/>
    <w:rsid w:val="004F2FA8"/>
    <w:rsid w:val="004F3307"/>
    <w:rsid w:val="00503B9C"/>
    <w:rsid w:val="00504083"/>
    <w:rsid w:val="005076B8"/>
    <w:rsid w:val="0051224D"/>
    <w:rsid w:val="005125FA"/>
    <w:rsid w:val="00513FFC"/>
    <w:rsid w:val="00523452"/>
    <w:rsid w:val="00525220"/>
    <w:rsid w:val="00526238"/>
    <w:rsid w:val="00526DED"/>
    <w:rsid w:val="00531942"/>
    <w:rsid w:val="0053249A"/>
    <w:rsid w:val="00541428"/>
    <w:rsid w:val="0054762D"/>
    <w:rsid w:val="00553A13"/>
    <w:rsid w:val="005556D5"/>
    <w:rsid w:val="00555871"/>
    <w:rsid w:val="00567282"/>
    <w:rsid w:val="00570EEB"/>
    <w:rsid w:val="005728A0"/>
    <w:rsid w:val="00577C91"/>
    <w:rsid w:val="00577DCC"/>
    <w:rsid w:val="005843C6"/>
    <w:rsid w:val="005A53BA"/>
    <w:rsid w:val="005A54FE"/>
    <w:rsid w:val="005A5F96"/>
    <w:rsid w:val="005A7342"/>
    <w:rsid w:val="005B5280"/>
    <w:rsid w:val="005B706E"/>
    <w:rsid w:val="005B740F"/>
    <w:rsid w:val="005B7E5B"/>
    <w:rsid w:val="005C0A3B"/>
    <w:rsid w:val="005C20BF"/>
    <w:rsid w:val="005C6C93"/>
    <w:rsid w:val="005C7D8C"/>
    <w:rsid w:val="005D0CB2"/>
    <w:rsid w:val="005E2945"/>
    <w:rsid w:val="005E2988"/>
    <w:rsid w:val="005E3C5F"/>
    <w:rsid w:val="005E44C4"/>
    <w:rsid w:val="005E4F3F"/>
    <w:rsid w:val="005F3981"/>
    <w:rsid w:val="005F5862"/>
    <w:rsid w:val="005F676F"/>
    <w:rsid w:val="00600320"/>
    <w:rsid w:val="00601A59"/>
    <w:rsid w:val="006077E4"/>
    <w:rsid w:val="00607B28"/>
    <w:rsid w:val="0061313D"/>
    <w:rsid w:val="0061395E"/>
    <w:rsid w:val="006165F8"/>
    <w:rsid w:val="00621D14"/>
    <w:rsid w:val="00624A68"/>
    <w:rsid w:val="00630474"/>
    <w:rsid w:val="00646FD3"/>
    <w:rsid w:val="00651FA9"/>
    <w:rsid w:val="006549CB"/>
    <w:rsid w:val="00670A96"/>
    <w:rsid w:val="00687080"/>
    <w:rsid w:val="006A225B"/>
    <w:rsid w:val="006A53B2"/>
    <w:rsid w:val="006B53F3"/>
    <w:rsid w:val="006C01D7"/>
    <w:rsid w:val="006C0D22"/>
    <w:rsid w:val="006C4CF8"/>
    <w:rsid w:val="006C60B1"/>
    <w:rsid w:val="006C7B7C"/>
    <w:rsid w:val="006C7F29"/>
    <w:rsid w:val="006D2C27"/>
    <w:rsid w:val="006D3FB3"/>
    <w:rsid w:val="006E4BED"/>
    <w:rsid w:val="006E54F8"/>
    <w:rsid w:val="006F1CA6"/>
    <w:rsid w:val="006F23BD"/>
    <w:rsid w:val="006F4482"/>
    <w:rsid w:val="00702DAE"/>
    <w:rsid w:val="00703240"/>
    <w:rsid w:val="00705B0B"/>
    <w:rsid w:val="0070614E"/>
    <w:rsid w:val="00720DA5"/>
    <w:rsid w:val="007231FF"/>
    <w:rsid w:val="007262BA"/>
    <w:rsid w:val="00726BD5"/>
    <w:rsid w:val="00726E9D"/>
    <w:rsid w:val="00732976"/>
    <w:rsid w:val="00733D83"/>
    <w:rsid w:val="007424F5"/>
    <w:rsid w:val="007450FA"/>
    <w:rsid w:val="0074544F"/>
    <w:rsid w:val="007544FE"/>
    <w:rsid w:val="0075562D"/>
    <w:rsid w:val="0075584C"/>
    <w:rsid w:val="00761659"/>
    <w:rsid w:val="00763360"/>
    <w:rsid w:val="00766771"/>
    <w:rsid w:val="00771A4F"/>
    <w:rsid w:val="00772A80"/>
    <w:rsid w:val="00773C84"/>
    <w:rsid w:val="00774C87"/>
    <w:rsid w:val="00775091"/>
    <w:rsid w:val="00776883"/>
    <w:rsid w:val="007829C8"/>
    <w:rsid w:val="0078682B"/>
    <w:rsid w:val="0078742A"/>
    <w:rsid w:val="007953C7"/>
    <w:rsid w:val="007A4256"/>
    <w:rsid w:val="007A7274"/>
    <w:rsid w:val="007B1E3E"/>
    <w:rsid w:val="007B2D07"/>
    <w:rsid w:val="007B5ADF"/>
    <w:rsid w:val="007B642B"/>
    <w:rsid w:val="007C00D1"/>
    <w:rsid w:val="007C0F8C"/>
    <w:rsid w:val="007C4571"/>
    <w:rsid w:val="007C54D7"/>
    <w:rsid w:val="007D04CB"/>
    <w:rsid w:val="007D0CC8"/>
    <w:rsid w:val="007D1725"/>
    <w:rsid w:val="007D2912"/>
    <w:rsid w:val="007D7821"/>
    <w:rsid w:val="007E0AD3"/>
    <w:rsid w:val="007E0E5E"/>
    <w:rsid w:val="007E4FFC"/>
    <w:rsid w:val="007F1C34"/>
    <w:rsid w:val="007F2F4C"/>
    <w:rsid w:val="007F333B"/>
    <w:rsid w:val="007F502C"/>
    <w:rsid w:val="007F694C"/>
    <w:rsid w:val="007F6B67"/>
    <w:rsid w:val="00804331"/>
    <w:rsid w:val="00807455"/>
    <w:rsid w:val="00813532"/>
    <w:rsid w:val="00822E0D"/>
    <w:rsid w:val="0083243A"/>
    <w:rsid w:val="00836D65"/>
    <w:rsid w:val="0083744C"/>
    <w:rsid w:val="008405A6"/>
    <w:rsid w:val="008424E3"/>
    <w:rsid w:val="008461FB"/>
    <w:rsid w:val="008561F4"/>
    <w:rsid w:val="00862C05"/>
    <w:rsid w:val="0087084D"/>
    <w:rsid w:val="00870C53"/>
    <w:rsid w:val="008757FA"/>
    <w:rsid w:val="0087788F"/>
    <w:rsid w:val="00881CA9"/>
    <w:rsid w:val="00882EAC"/>
    <w:rsid w:val="008840F8"/>
    <w:rsid w:val="008943B0"/>
    <w:rsid w:val="00896197"/>
    <w:rsid w:val="008A084D"/>
    <w:rsid w:val="008A42FA"/>
    <w:rsid w:val="008A6084"/>
    <w:rsid w:val="008B1D18"/>
    <w:rsid w:val="008C2652"/>
    <w:rsid w:val="008C4856"/>
    <w:rsid w:val="008D3094"/>
    <w:rsid w:val="008F07BB"/>
    <w:rsid w:val="009013BE"/>
    <w:rsid w:val="009069FF"/>
    <w:rsid w:val="00906DEB"/>
    <w:rsid w:val="00912B5D"/>
    <w:rsid w:val="00912EC3"/>
    <w:rsid w:val="00913106"/>
    <w:rsid w:val="00915A58"/>
    <w:rsid w:val="00916F1F"/>
    <w:rsid w:val="00921D5B"/>
    <w:rsid w:val="00922D56"/>
    <w:rsid w:val="009266A4"/>
    <w:rsid w:val="00926C5C"/>
    <w:rsid w:val="00930434"/>
    <w:rsid w:val="00931051"/>
    <w:rsid w:val="009328B0"/>
    <w:rsid w:val="00936832"/>
    <w:rsid w:val="00942EA5"/>
    <w:rsid w:val="00951C34"/>
    <w:rsid w:val="0095286D"/>
    <w:rsid w:val="00954D7F"/>
    <w:rsid w:val="0096384C"/>
    <w:rsid w:val="00964589"/>
    <w:rsid w:val="00972981"/>
    <w:rsid w:val="00977E4E"/>
    <w:rsid w:val="00981081"/>
    <w:rsid w:val="009848CB"/>
    <w:rsid w:val="00986625"/>
    <w:rsid w:val="00991268"/>
    <w:rsid w:val="0099356A"/>
    <w:rsid w:val="00995299"/>
    <w:rsid w:val="009A021D"/>
    <w:rsid w:val="009A183E"/>
    <w:rsid w:val="009A6A70"/>
    <w:rsid w:val="009C05EA"/>
    <w:rsid w:val="009C1C7C"/>
    <w:rsid w:val="009C33D9"/>
    <w:rsid w:val="009D0747"/>
    <w:rsid w:val="009D6819"/>
    <w:rsid w:val="009E08F3"/>
    <w:rsid w:val="009E2401"/>
    <w:rsid w:val="009E4515"/>
    <w:rsid w:val="009F1500"/>
    <w:rsid w:val="009F48DE"/>
    <w:rsid w:val="009F6384"/>
    <w:rsid w:val="00A018AA"/>
    <w:rsid w:val="00A0674D"/>
    <w:rsid w:val="00A11567"/>
    <w:rsid w:val="00A12916"/>
    <w:rsid w:val="00A14E65"/>
    <w:rsid w:val="00A15D46"/>
    <w:rsid w:val="00A172FB"/>
    <w:rsid w:val="00A17704"/>
    <w:rsid w:val="00A2163E"/>
    <w:rsid w:val="00A23539"/>
    <w:rsid w:val="00A2374E"/>
    <w:rsid w:val="00A259CD"/>
    <w:rsid w:val="00A33C56"/>
    <w:rsid w:val="00A4023D"/>
    <w:rsid w:val="00A42655"/>
    <w:rsid w:val="00A525C8"/>
    <w:rsid w:val="00A5739A"/>
    <w:rsid w:val="00A63762"/>
    <w:rsid w:val="00A7045B"/>
    <w:rsid w:val="00A73E15"/>
    <w:rsid w:val="00A76D66"/>
    <w:rsid w:val="00A90675"/>
    <w:rsid w:val="00A945CF"/>
    <w:rsid w:val="00A966A5"/>
    <w:rsid w:val="00A97673"/>
    <w:rsid w:val="00AA1A78"/>
    <w:rsid w:val="00AA789E"/>
    <w:rsid w:val="00AB47C9"/>
    <w:rsid w:val="00AC1764"/>
    <w:rsid w:val="00AC1918"/>
    <w:rsid w:val="00AC7403"/>
    <w:rsid w:val="00AE05B2"/>
    <w:rsid w:val="00AE1395"/>
    <w:rsid w:val="00AE25B7"/>
    <w:rsid w:val="00AE36F0"/>
    <w:rsid w:val="00AE4D5C"/>
    <w:rsid w:val="00AE5513"/>
    <w:rsid w:val="00AF01BE"/>
    <w:rsid w:val="00AF5CFD"/>
    <w:rsid w:val="00AF616C"/>
    <w:rsid w:val="00AF7183"/>
    <w:rsid w:val="00B0059B"/>
    <w:rsid w:val="00B0178D"/>
    <w:rsid w:val="00B01D8C"/>
    <w:rsid w:val="00B067CB"/>
    <w:rsid w:val="00B11397"/>
    <w:rsid w:val="00B13E69"/>
    <w:rsid w:val="00B17EE9"/>
    <w:rsid w:val="00B20417"/>
    <w:rsid w:val="00B25863"/>
    <w:rsid w:val="00B2668F"/>
    <w:rsid w:val="00B30F99"/>
    <w:rsid w:val="00B34479"/>
    <w:rsid w:val="00B34481"/>
    <w:rsid w:val="00B34987"/>
    <w:rsid w:val="00B36FBA"/>
    <w:rsid w:val="00B40541"/>
    <w:rsid w:val="00B40D03"/>
    <w:rsid w:val="00B417F4"/>
    <w:rsid w:val="00B46653"/>
    <w:rsid w:val="00B61B95"/>
    <w:rsid w:val="00B64927"/>
    <w:rsid w:val="00B65BD0"/>
    <w:rsid w:val="00B66A10"/>
    <w:rsid w:val="00B72A61"/>
    <w:rsid w:val="00B81758"/>
    <w:rsid w:val="00B83797"/>
    <w:rsid w:val="00B838A8"/>
    <w:rsid w:val="00B84951"/>
    <w:rsid w:val="00B859AE"/>
    <w:rsid w:val="00B91C17"/>
    <w:rsid w:val="00B9559F"/>
    <w:rsid w:val="00B9573C"/>
    <w:rsid w:val="00B960F1"/>
    <w:rsid w:val="00B96B36"/>
    <w:rsid w:val="00BA21BD"/>
    <w:rsid w:val="00BA4167"/>
    <w:rsid w:val="00BA73A8"/>
    <w:rsid w:val="00BB255B"/>
    <w:rsid w:val="00BB3D78"/>
    <w:rsid w:val="00BB7979"/>
    <w:rsid w:val="00BC1FE8"/>
    <w:rsid w:val="00BC44D1"/>
    <w:rsid w:val="00BD1924"/>
    <w:rsid w:val="00BD511E"/>
    <w:rsid w:val="00BE09A9"/>
    <w:rsid w:val="00BE19EB"/>
    <w:rsid w:val="00BE5FB4"/>
    <w:rsid w:val="00BE6A86"/>
    <w:rsid w:val="00BF49A1"/>
    <w:rsid w:val="00BF547E"/>
    <w:rsid w:val="00BF71DA"/>
    <w:rsid w:val="00C027F5"/>
    <w:rsid w:val="00C06D43"/>
    <w:rsid w:val="00C072E5"/>
    <w:rsid w:val="00C12D9C"/>
    <w:rsid w:val="00C1445B"/>
    <w:rsid w:val="00C16F98"/>
    <w:rsid w:val="00C21886"/>
    <w:rsid w:val="00C238FA"/>
    <w:rsid w:val="00C3129B"/>
    <w:rsid w:val="00C32566"/>
    <w:rsid w:val="00C33ACA"/>
    <w:rsid w:val="00C40026"/>
    <w:rsid w:val="00C431C1"/>
    <w:rsid w:val="00C43E2D"/>
    <w:rsid w:val="00C441C0"/>
    <w:rsid w:val="00C441E4"/>
    <w:rsid w:val="00C47B70"/>
    <w:rsid w:val="00C57457"/>
    <w:rsid w:val="00C64441"/>
    <w:rsid w:val="00C664F8"/>
    <w:rsid w:val="00C81729"/>
    <w:rsid w:val="00C86D92"/>
    <w:rsid w:val="00C87880"/>
    <w:rsid w:val="00C92394"/>
    <w:rsid w:val="00C9363D"/>
    <w:rsid w:val="00C953B4"/>
    <w:rsid w:val="00C96B91"/>
    <w:rsid w:val="00CA0CEF"/>
    <w:rsid w:val="00CA1292"/>
    <w:rsid w:val="00CA6080"/>
    <w:rsid w:val="00CA6232"/>
    <w:rsid w:val="00CB14C9"/>
    <w:rsid w:val="00CB2C25"/>
    <w:rsid w:val="00CB4CD8"/>
    <w:rsid w:val="00CB4D54"/>
    <w:rsid w:val="00CC16AE"/>
    <w:rsid w:val="00CD0070"/>
    <w:rsid w:val="00CD23B6"/>
    <w:rsid w:val="00CD5442"/>
    <w:rsid w:val="00CD5F66"/>
    <w:rsid w:val="00CD6DCA"/>
    <w:rsid w:val="00CE204A"/>
    <w:rsid w:val="00CE2C51"/>
    <w:rsid w:val="00D03919"/>
    <w:rsid w:val="00D05661"/>
    <w:rsid w:val="00D06175"/>
    <w:rsid w:val="00D063E6"/>
    <w:rsid w:val="00D11DF7"/>
    <w:rsid w:val="00D23930"/>
    <w:rsid w:val="00D47C2F"/>
    <w:rsid w:val="00D51D73"/>
    <w:rsid w:val="00D521A5"/>
    <w:rsid w:val="00D52530"/>
    <w:rsid w:val="00D555F5"/>
    <w:rsid w:val="00D55BB4"/>
    <w:rsid w:val="00D56D92"/>
    <w:rsid w:val="00D57CCB"/>
    <w:rsid w:val="00D633F9"/>
    <w:rsid w:val="00D70A3F"/>
    <w:rsid w:val="00D71760"/>
    <w:rsid w:val="00D71A7E"/>
    <w:rsid w:val="00D75926"/>
    <w:rsid w:val="00D83709"/>
    <w:rsid w:val="00D83F75"/>
    <w:rsid w:val="00D917CF"/>
    <w:rsid w:val="00D91901"/>
    <w:rsid w:val="00D97EEB"/>
    <w:rsid w:val="00DA40B0"/>
    <w:rsid w:val="00DB4328"/>
    <w:rsid w:val="00DB761E"/>
    <w:rsid w:val="00DC7256"/>
    <w:rsid w:val="00DD6F74"/>
    <w:rsid w:val="00DE049C"/>
    <w:rsid w:val="00DE22D3"/>
    <w:rsid w:val="00DE372D"/>
    <w:rsid w:val="00DF003E"/>
    <w:rsid w:val="00DF1ECA"/>
    <w:rsid w:val="00DF39AD"/>
    <w:rsid w:val="00E226CA"/>
    <w:rsid w:val="00E26F00"/>
    <w:rsid w:val="00E31E8D"/>
    <w:rsid w:val="00E40A81"/>
    <w:rsid w:val="00E45266"/>
    <w:rsid w:val="00E45672"/>
    <w:rsid w:val="00E542FF"/>
    <w:rsid w:val="00E55C31"/>
    <w:rsid w:val="00E56EF6"/>
    <w:rsid w:val="00E5754B"/>
    <w:rsid w:val="00E62671"/>
    <w:rsid w:val="00E6594D"/>
    <w:rsid w:val="00E66438"/>
    <w:rsid w:val="00E7011E"/>
    <w:rsid w:val="00E73435"/>
    <w:rsid w:val="00E75CBB"/>
    <w:rsid w:val="00E77210"/>
    <w:rsid w:val="00E8294A"/>
    <w:rsid w:val="00E859AF"/>
    <w:rsid w:val="00E92835"/>
    <w:rsid w:val="00EA34A8"/>
    <w:rsid w:val="00EA5031"/>
    <w:rsid w:val="00EA5919"/>
    <w:rsid w:val="00EA68C0"/>
    <w:rsid w:val="00EA7092"/>
    <w:rsid w:val="00EB1C4F"/>
    <w:rsid w:val="00EB2A73"/>
    <w:rsid w:val="00EB6464"/>
    <w:rsid w:val="00EB6FF2"/>
    <w:rsid w:val="00ED0232"/>
    <w:rsid w:val="00ED06DD"/>
    <w:rsid w:val="00ED301D"/>
    <w:rsid w:val="00ED7481"/>
    <w:rsid w:val="00ED7C8F"/>
    <w:rsid w:val="00EE01B3"/>
    <w:rsid w:val="00EE5AE9"/>
    <w:rsid w:val="00EF270D"/>
    <w:rsid w:val="00EF759F"/>
    <w:rsid w:val="00F01204"/>
    <w:rsid w:val="00F01F23"/>
    <w:rsid w:val="00F02C67"/>
    <w:rsid w:val="00F0406B"/>
    <w:rsid w:val="00F129E5"/>
    <w:rsid w:val="00F13C24"/>
    <w:rsid w:val="00F15C68"/>
    <w:rsid w:val="00F1629B"/>
    <w:rsid w:val="00F17099"/>
    <w:rsid w:val="00F17253"/>
    <w:rsid w:val="00F213B8"/>
    <w:rsid w:val="00F321C4"/>
    <w:rsid w:val="00F35BB3"/>
    <w:rsid w:val="00F377B8"/>
    <w:rsid w:val="00F41F74"/>
    <w:rsid w:val="00F43425"/>
    <w:rsid w:val="00F43FE6"/>
    <w:rsid w:val="00F4586E"/>
    <w:rsid w:val="00F532CF"/>
    <w:rsid w:val="00F53BF2"/>
    <w:rsid w:val="00F54D26"/>
    <w:rsid w:val="00F60DC8"/>
    <w:rsid w:val="00F709E4"/>
    <w:rsid w:val="00F80903"/>
    <w:rsid w:val="00F9516C"/>
    <w:rsid w:val="00F97400"/>
    <w:rsid w:val="00FA1CDB"/>
    <w:rsid w:val="00FA6407"/>
    <w:rsid w:val="00FA6FAA"/>
    <w:rsid w:val="00FB3A33"/>
    <w:rsid w:val="00FC638C"/>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nhideWhenUsed/>
    <w:rsid w:val="00353D98"/>
    <w:pPr>
      <w:tabs>
        <w:tab w:val="center" w:pos="4419"/>
        <w:tab w:val="right" w:pos="8838"/>
      </w:tabs>
    </w:pPr>
  </w:style>
  <w:style w:type="character" w:customStyle="1" w:styleId="PiedepginaCar">
    <w:name w:val="Pie de página Car"/>
    <w:basedOn w:val="Fuentedeprrafopredeter"/>
    <w:link w:val="Piedepgina"/>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styleId="Mencinsinresolver">
    <w:name w:val="Unresolved Mention"/>
    <w:basedOn w:val="Fuentedeprrafopredeter"/>
    <w:uiPriority w:val="99"/>
    <w:semiHidden/>
    <w:unhideWhenUsed/>
    <w:rsid w:val="001407B5"/>
    <w:rPr>
      <w:color w:val="605E5C"/>
      <w:shd w:val="clear" w:color="auto" w:fill="E1DFDD"/>
    </w:rPr>
  </w:style>
  <w:style w:type="character" w:styleId="Textoennegrita">
    <w:name w:val="Strong"/>
    <w:basedOn w:val="Fuentedeprrafopredeter"/>
    <w:uiPriority w:val="22"/>
    <w:qFormat/>
    <w:rsid w:val="005125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447325">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5499940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044478">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398140327">
      <w:bodyDiv w:val="1"/>
      <w:marLeft w:val="0"/>
      <w:marRight w:val="0"/>
      <w:marTop w:val="0"/>
      <w:marBottom w:val="0"/>
      <w:divBdr>
        <w:top w:val="none" w:sz="0" w:space="0" w:color="auto"/>
        <w:left w:val="none" w:sz="0" w:space="0" w:color="auto"/>
        <w:bottom w:val="none" w:sz="0" w:space="0" w:color="auto"/>
        <w:right w:val="none" w:sz="0" w:space="0" w:color="auto"/>
      </w:divBdr>
    </w:div>
    <w:div w:id="399719793">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11321591">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0636647">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61315691">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3256629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77334361">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0247683">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19541360">
      <w:bodyDiv w:val="1"/>
      <w:marLeft w:val="0"/>
      <w:marRight w:val="0"/>
      <w:marTop w:val="0"/>
      <w:marBottom w:val="0"/>
      <w:divBdr>
        <w:top w:val="none" w:sz="0" w:space="0" w:color="auto"/>
        <w:left w:val="none" w:sz="0" w:space="0" w:color="auto"/>
        <w:bottom w:val="none" w:sz="0" w:space="0" w:color="auto"/>
        <w:right w:val="none" w:sz="0" w:space="0" w:color="auto"/>
      </w:divBdr>
    </w:div>
    <w:div w:id="825588064">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13658771">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26109816">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992491407">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84648250">
      <w:bodyDiv w:val="1"/>
      <w:marLeft w:val="0"/>
      <w:marRight w:val="0"/>
      <w:marTop w:val="0"/>
      <w:marBottom w:val="0"/>
      <w:divBdr>
        <w:top w:val="none" w:sz="0" w:space="0" w:color="auto"/>
        <w:left w:val="none" w:sz="0" w:space="0" w:color="auto"/>
        <w:bottom w:val="none" w:sz="0" w:space="0" w:color="auto"/>
        <w:right w:val="none" w:sz="0" w:space="0" w:color="auto"/>
      </w:divBdr>
    </w:div>
    <w:div w:id="1086000295">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3133727">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630388">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8550570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40905029">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58322340">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03805804">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2703944">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2358675">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37106104">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535461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7795866">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RAGON\Desktop\2025\Trimestral%202025\4to.%20Trimestre\graficos-%204to%20Trimestre%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82722989772165"/>
          <c:y val="0.24857365686383612"/>
          <c:w val="0.72661865341465148"/>
          <c:h val="0.6224263164910061"/>
        </c:manualLayout>
      </c:layout>
      <c:barChart>
        <c:barDir val="col"/>
        <c:grouping val="clustered"/>
        <c:varyColors val="0"/>
        <c:ser>
          <c:idx val="0"/>
          <c:order val="0"/>
          <c:spPr>
            <a:solidFill>
              <a:srgbClr val="DD4FAA"/>
            </a:solidFill>
            <a:ln>
              <a:noFill/>
            </a:ln>
          </c:spPr>
          <c:invertIfNegative val="0"/>
          <c:dPt>
            <c:idx val="0"/>
            <c:invertIfNegative val="0"/>
            <c:bubble3D val="0"/>
            <c:spPr>
              <a:solidFill>
                <a:schemeClr val="accent5">
                  <a:lumMod val="50000"/>
                </a:schemeClr>
              </a:solidFill>
              <a:ln>
                <a:noFill/>
              </a:ln>
            </c:spPr>
            <c:extLst>
              <c:ext xmlns:c16="http://schemas.microsoft.com/office/drawing/2014/chart" uri="{C3380CC4-5D6E-409C-BE32-E72D297353CC}">
                <c16:uniqueId val="{00000001-D16F-40E5-85C6-7716E0D331B0}"/>
              </c:ext>
            </c:extLst>
          </c:dPt>
          <c:dPt>
            <c:idx val="1"/>
            <c:invertIfNegative val="0"/>
            <c:bubble3D val="0"/>
            <c:spPr>
              <a:solidFill>
                <a:schemeClr val="accent6">
                  <a:lumMod val="75000"/>
                </a:schemeClr>
              </a:solidFill>
              <a:ln>
                <a:noFill/>
              </a:ln>
            </c:spPr>
            <c:extLst>
              <c:ext xmlns:c16="http://schemas.microsoft.com/office/drawing/2014/chart" uri="{C3380CC4-5D6E-409C-BE32-E72D297353CC}">
                <c16:uniqueId val="{00000003-D16F-40E5-85C6-7716E0D331B0}"/>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6F-40E5-85C6-7716E0D331B0}"/>
                </c:ext>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6F-40E5-85C6-7716E0D331B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DAIF!$A$4:$A$5</c:f>
              <c:strCache>
                <c:ptCount val="2"/>
                <c:pt idx="0">
                  <c:v>Realizados</c:v>
                </c:pt>
                <c:pt idx="1">
                  <c:v>Programados</c:v>
                </c:pt>
              </c:strCache>
            </c:strRef>
          </c:cat>
          <c:val>
            <c:numRef>
              <c:f>DAIF!$B$4:$B$5</c:f>
              <c:numCache>
                <c:formatCode>General</c:formatCode>
                <c:ptCount val="2"/>
                <c:pt idx="0">
                  <c:v>626</c:v>
                </c:pt>
                <c:pt idx="1">
                  <c:v>389</c:v>
                </c:pt>
              </c:numCache>
            </c:numRef>
          </c:val>
          <c:extLst>
            <c:ext xmlns:c16="http://schemas.microsoft.com/office/drawing/2014/chart" uri="{C3380CC4-5D6E-409C-BE32-E72D297353CC}">
              <c16:uniqueId val="{00000004-D16F-40E5-85C6-7716E0D331B0}"/>
            </c:ext>
          </c:extLst>
        </c:ser>
        <c:dLbls>
          <c:showLegendKey val="0"/>
          <c:showVal val="0"/>
          <c:showCatName val="0"/>
          <c:showSerName val="0"/>
          <c:showPercent val="0"/>
          <c:showBubbleSize val="0"/>
        </c:dLbls>
        <c:gapWidth val="150"/>
        <c:axId val="-276919472"/>
        <c:axId val="-276926544"/>
      </c:barChart>
      <c:catAx>
        <c:axId val="-276919472"/>
        <c:scaling>
          <c:orientation val="minMax"/>
        </c:scaling>
        <c:delete val="0"/>
        <c:axPos val="b"/>
        <c:numFmt formatCode="General" sourceLinked="0"/>
        <c:majorTickMark val="out"/>
        <c:minorTickMark val="none"/>
        <c:tickLblPos val="nextTo"/>
        <c:crossAx val="-276926544"/>
        <c:crosses val="autoZero"/>
        <c:auto val="0"/>
        <c:lblAlgn val="ctr"/>
        <c:lblOffset val="100"/>
        <c:noMultiLvlLbl val="0"/>
      </c:catAx>
      <c:valAx>
        <c:axId val="-276926544"/>
        <c:scaling>
          <c:orientation val="minMax"/>
          <c:min val="0"/>
        </c:scaling>
        <c:delete val="1"/>
        <c:axPos val="l"/>
        <c:numFmt formatCode="General" sourceLinked="1"/>
        <c:majorTickMark val="out"/>
        <c:minorTickMark val="none"/>
        <c:tickLblPos val="nextTo"/>
        <c:crossAx val="-276919472"/>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7697B"/>
              </a:solidFill>
              <a:ln>
                <a:solidFill>
                  <a:schemeClr val="accent5">
                    <a:lumMod val="50000"/>
                  </a:schemeClr>
                </a:solidFill>
              </a:ln>
              <a:effectLst/>
            </c:spPr>
            <c:extLst>
              <c:ext xmlns:c16="http://schemas.microsoft.com/office/drawing/2014/chart" uri="{C3380CC4-5D6E-409C-BE32-E72D297353CC}">
                <c16:uniqueId val="{00000001-7D9E-4D1C-B834-CBC7E6796EF0}"/>
              </c:ext>
            </c:extLst>
          </c:dPt>
          <c:dPt>
            <c:idx val="1"/>
            <c:invertIfNegative val="0"/>
            <c:bubble3D val="0"/>
            <c:spPr>
              <a:solidFill>
                <a:srgbClr val="77232F"/>
              </a:solidFill>
              <a:ln>
                <a:noFill/>
              </a:ln>
              <a:effectLst/>
            </c:spPr>
            <c:extLst>
              <c:ext xmlns:c16="http://schemas.microsoft.com/office/drawing/2014/chart" uri="{C3380CC4-5D6E-409C-BE32-E72D297353CC}">
                <c16:uniqueId val="{00000003-7D9E-4D1C-B834-CBC7E6796EF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9E-4D1C-B834-CBC7E6796EF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9E-4D1C-B834-CBC7E6796EF0}"/>
                </c:ext>
              </c:extLst>
            </c:dLbl>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DAIF!$A$73:$A$74</c:f>
              <c:strCache>
                <c:ptCount val="2"/>
                <c:pt idx="0">
                  <c:v>Realizados</c:v>
                </c:pt>
                <c:pt idx="1">
                  <c:v>Programados</c:v>
                </c:pt>
              </c:strCache>
            </c:strRef>
          </c:cat>
          <c:val>
            <c:numRef>
              <c:f>DAIF!$B$73:$B$74</c:f>
              <c:numCache>
                <c:formatCode>General</c:formatCode>
                <c:ptCount val="2"/>
                <c:pt idx="0">
                  <c:v>280</c:v>
                </c:pt>
                <c:pt idx="1">
                  <c:v>219</c:v>
                </c:pt>
              </c:numCache>
            </c:numRef>
          </c:val>
          <c:extLst>
            <c:ext xmlns:c16="http://schemas.microsoft.com/office/drawing/2014/chart" uri="{C3380CC4-5D6E-409C-BE32-E72D297353CC}">
              <c16:uniqueId val="{00000004-7D9E-4D1C-B834-CBC7E6796EF0}"/>
            </c:ext>
          </c:extLst>
        </c:ser>
        <c:dLbls>
          <c:showLegendKey val="0"/>
          <c:showVal val="0"/>
          <c:showCatName val="0"/>
          <c:showSerName val="0"/>
          <c:showPercent val="0"/>
          <c:showBubbleSize val="0"/>
        </c:dLbls>
        <c:gapWidth val="182"/>
        <c:axId val="313825744"/>
        <c:axId val="313824784"/>
      </c:barChart>
      <c:catAx>
        <c:axId val="31382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crossAx val="313824784"/>
        <c:crosses val="autoZero"/>
        <c:auto val="1"/>
        <c:lblAlgn val="ctr"/>
        <c:lblOffset val="100"/>
        <c:noMultiLvlLbl val="0"/>
      </c:catAx>
      <c:valAx>
        <c:axId val="313824784"/>
        <c:scaling>
          <c:orientation val="minMax"/>
        </c:scaling>
        <c:delete val="1"/>
        <c:axPos val="b"/>
        <c:numFmt formatCode="General" sourceLinked="1"/>
        <c:majorTickMark val="none"/>
        <c:minorTickMark val="none"/>
        <c:tickLblPos val="nextTo"/>
        <c:crossAx val="313825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1000" b="0" i="0" u="none" strike="noStrike" kern="1200" baseline="0">
          <a:solidFill>
            <a:schemeClr val="tx1"/>
          </a:solidFill>
          <a:latin typeface="+mn-lt"/>
          <a:ea typeface="+mn-ea"/>
          <a:cs typeface="+mn-cs"/>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8526-E8A3-4019-9B6E-5A3D2E0B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17517</Words>
  <Characters>96349</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Josefina Martinez</cp:lastModifiedBy>
  <cp:revision>2</cp:revision>
  <cp:lastPrinted>2026-03-30T19:19:00Z</cp:lastPrinted>
  <dcterms:created xsi:type="dcterms:W3CDTF">2026-05-07T19:51:00Z</dcterms:created>
  <dcterms:modified xsi:type="dcterms:W3CDTF">2026-05-07T19:51:00Z</dcterms:modified>
</cp:coreProperties>
</file>